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AA234" w14:textId="77777777" w:rsidR="00575884" w:rsidRPr="00F806BD" w:rsidRDefault="00575884" w:rsidP="00575884">
      <w:pPr>
        <w:spacing w:after="0" w:line="240" w:lineRule="auto"/>
        <w:jc w:val="right"/>
        <w:rPr>
          <w:rFonts w:ascii="Montserrat" w:eastAsia="Times New Roman" w:hAnsi="Montserrat" w:cs="Arial"/>
          <w:lang w:eastAsia="pl-PL"/>
        </w:rPr>
      </w:pPr>
      <w:bookmarkStart w:id="0" w:name="_Hlk70587555"/>
    </w:p>
    <w:p w14:paraId="3E7D4735" w14:textId="77777777" w:rsidR="00575884" w:rsidRPr="00F806BD" w:rsidRDefault="00575884" w:rsidP="00575884">
      <w:pPr>
        <w:spacing w:after="0" w:line="240" w:lineRule="auto"/>
        <w:jc w:val="right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Miłomłyn, dnia</w:t>
      </w:r>
      <w:r>
        <w:rPr>
          <w:rFonts w:ascii="Montserrat" w:eastAsia="Times New Roman" w:hAnsi="Montserrat" w:cs="Arial"/>
          <w:lang w:eastAsia="pl-PL"/>
        </w:rPr>
        <w:t xml:space="preserve"> 16.09.</w:t>
      </w:r>
      <w:r w:rsidRPr="00F806BD">
        <w:rPr>
          <w:rFonts w:ascii="Montserrat" w:eastAsia="Times New Roman" w:hAnsi="Montserrat" w:cs="Arial"/>
          <w:lang w:eastAsia="pl-PL"/>
        </w:rPr>
        <w:t>2024r.</w:t>
      </w:r>
    </w:p>
    <w:p w14:paraId="67219D6F" w14:textId="77777777" w:rsidR="00575884" w:rsidRDefault="00575884" w:rsidP="00575884">
      <w:pPr>
        <w:spacing w:after="0" w:line="240" w:lineRule="auto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Nasz znak:</w:t>
      </w:r>
      <w:r>
        <w:rPr>
          <w:rFonts w:ascii="Montserrat" w:eastAsia="Times New Roman" w:hAnsi="Montserrat" w:cs="Arial"/>
          <w:lang w:eastAsia="pl-PL"/>
        </w:rPr>
        <w:t xml:space="preserve"> </w:t>
      </w:r>
      <w:r w:rsidRPr="00F806BD">
        <w:rPr>
          <w:rFonts w:ascii="Montserrat" w:eastAsia="Times New Roman" w:hAnsi="Montserrat" w:cs="Arial"/>
          <w:lang w:eastAsia="pl-PL"/>
        </w:rPr>
        <w:t>GPiRL.6730.85.2024</w:t>
      </w:r>
    </w:p>
    <w:p w14:paraId="0FA1A72F" w14:textId="77777777" w:rsidR="00575884" w:rsidRPr="00F806BD" w:rsidRDefault="00575884" w:rsidP="00575884">
      <w:pPr>
        <w:spacing w:after="0" w:line="240" w:lineRule="auto"/>
        <w:rPr>
          <w:rFonts w:ascii="Montserrat" w:eastAsia="Times New Roman" w:hAnsi="Montserrat" w:cs="Arial"/>
          <w:lang w:eastAsia="pl-PL"/>
        </w:rPr>
      </w:pPr>
    </w:p>
    <w:p w14:paraId="47977337" w14:textId="77777777" w:rsidR="00575884" w:rsidRPr="00F806BD" w:rsidRDefault="00575884" w:rsidP="00575884">
      <w:pPr>
        <w:keepNext/>
        <w:spacing w:after="0" w:line="276" w:lineRule="auto"/>
        <w:jc w:val="center"/>
        <w:outlineLvl w:val="1"/>
        <w:rPr>
          <w:rFonts w:ascii="Montserrat" w:eastAsia="Times New Roman" w:hAnsi="Montserrat" w:cs="Arial"/>
          <w:b/>
          <w:lang w:eastAsia="pl-PL"/>
        </w:rPr>
      </w:pPr>
      <w:r w:rsidRPr="00F806BD">
        <w:rPr>
          <w:rFonts w:ascii="Montserrat" w:eastAsia="Times New Roman" w:hAnsi="Montserrat" w:cs="Arial"/>
          <w:b/>
          <w:lang w:eastAsia="pl-PL"/>
        </w:rPr>
        <w:t>Decyzja Nr 85/</w:t>
      </w:r>
      <w:r>
        <w:rPr>
          <w:rFonts w:ascii="Montserrat" w:eastAsia="Times New Roman" w:hAnsi="Montserrat" w:cs="Arial"/>
          <w:b/>
          <w:lang w:eastAsia="pl-PL"/>
        </w:rPr>
        <w:t>20</w:t>
      </w:r>
      <w:r w:rsidRPr="00F806BD">
        <w:rPr>
          <w:rFonts w:ascii="Montserrat" w:eastAsia="Times New Roman" w:hAnsi="Montserrat" w:cs="Arial"/>
          <w:b/>
          <w:lang w:eastAsia="pl-PL"/>
        </w:rPr>
        <w:t>24</w:t>
      </w:r>
    </w:p>
    <w:p w14:paraId="182BE737" w14:textId="77777777" w:rsidR="00575884" w:rsidRPr="00F806BD" w:rsidRDefault="00575884" w:rsidP="00575884">
      <w:pPr>
        <w:spacing w:after="0" w:line="240" w:lineRule="auto"/>
        <w:jc w:val="center"/>
        <w:rPr>
          <w:rFonts w:ascii="Montserrat" w:eastAsia="Times New Roman" w:hAnsi="Montserrat" w:cs="Arial"/>
          <w:b/>
          <w:lang w:eastAsia="pl-PL"/>
        </w:rPr>
      </w:pPr>
      <w:r w:rsidRPr="00F806BD">
        <w:rPr>
          <w:rFonts w:ascii="Montserrat" w:eastAsia="Times New Roman" w:hAnsi="Montserrat" w:cs="Arial"/>
          <w:b/>
          <w:lang w:eastAsia="pl-PL"/>
        </w:rPr>
        <w:t>o warunkach zabudowy.</w:t>
      </w:r>
    </w:p>
    <w:p w14:paraId="6751E179" w14:textId="77777777" w:rsidR="00575884" w:rsidRPr="00F806BD" w:rsidRDefault="00575884" w:rsidP="00575884">
      <w:pPr>
        <w:spacing w:after="0" w:line="240" w:lineRule="auto"/>
        <w:rPr>
          <w:rFonts w:ascii="Montserrat" w:eastAsia="Times New Roman" w:hAnsi="Montserrat" w:cs="Arial"/>
          <w:lang w:eastAsia="pl-PL"/>
        </w:rPr>
      </w:pPr>
    </w:p>
    <w:p w14:paraId="4B43DD83" w14:textId="77777777" w:rsidR="00575884" w:rsidRPr="00F806BD" w:rsidRDefault="00575884" w:rsidP="00575884">
      <w:pPr>
        <w:spacing w:after="0" w:line="360" w:lineRule="auto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ab/>
        <w:t>Na podstawie art. 60 ust. 1 ustawy z dnia 27 marca 2003r. o planowaniu i zagospodarowaniu przestrzennym (Dz. U. z 202</w:t>
      </w:r>
      <w:r>
        <w:rPr>
          <w:rFonts w:ascii="Montserrat" w:eastAsia="Times New Roman" w:hAnsi="Montserrat" w:cs="Arial"/>
          <w:lang w:eastAsia="pl-PL"/>
        </w:rPr>
        <w:t>4</w:t>
      </w:r>
      <w:r w:rsidRPr="00F806BD">
        <w:rPr>
          <w:rFonts w:ascii="Montserrat" w:eastAsia="Times New Roman" w:hAnsi="Montserrat" w:cs="Arial"/>
          <w:lang w:eastAsia="pl-PL"/>
        </w:rPr>
        <w:t xml:space="preserve">r., poz. </w:t>
      </w:r>
      <w:r>
        <w:rPr>
          <w:rFonts w:ascii="Montserrat" w:eastAsia="Times New Roman" w:hAnsi="Montserrat" w:cs="Arial"/>
          <w:lang w:eastAsia="pl-PL"/>
        </w:rPr>
        <w:t>1130</w:t>
      </w:r>
      <w:r w:rsidRPr="00F806BD">
        <w:rPr>
          <w:rFonts w:ascii="Montserrat" w:eastAsia="Times New Roman" w:hAnsi="Montserrat" w:cs="Arial"/>
          <w:lang w:eastAsia="pl-PL"/>
        </w:rPr>
        <w:t xml:space="preserve">) oraz art. 104 Kodeksu Postępowania Administracyjnego (Dz. U. z 2024r., poz. 572), po rozpatrzeniu wniosku inwestora: </w:t>
      </w:r>
      <w:r w:rsidRPr="00F806BD">
        <w:rPr>
          <w:rFonts w:ascii="Montserrat" w:hAnsi="Montserrat" w:cs="Arial"/>
        </w:rPr>
        <w:t>PCWO ENERGY PROJEKT Sp. z o.</w:t>
      </w:r>
      <w:r>
        <w:rPr>
          <w:rFonts w:ascii="Montserrat" w:hAnsi="Montserrat" w:cs="Arial"/>
        </w:rPr>
        <w:t xml:space="preserve"> </w:t>
      </w:r>
      <w:r w:rsidRPr="00F806BD">
        <w:rPr>
          <w:rFonts w:ascii="Montserrat" w:hAnsi="Montserrat" w:cs="Arial"/>
        </w:rPr>
        <w:t xml:space="preserve">o. (pismo z dnia 27.05.2024r., znak: L.dz. PP2531/2024, </w:t>
      </w:r>
      <w:bookmarkStart w:id="1" w:name="_Hlk171591171"/>
      <w:r w:rsidRPr="00F806BD">
        <w:rPr>
          <w:rFonts w:ascii="Montserrat" w:hAnsi="Montserrat" w:cs="Arial"/>
        </w:rPr>
        <w:t>zmiana wniosku z dnia 02.07.2024r., znak: L.dz. PP3194/2024)</w:t>
      </w:r>
      <w:bookmarkEnd w:id="1"/>
    </w:p>
    <w:p w14:paraId="0595BC6A" w14:textId="77777777" w:rsidR="00575884" w:rsidRPr="00F806BD" w:rsidRDefault="00575884" w:rsidP="00575884">
      <w:pPr>
        <w:spacing w:before="240" w:after="0" w:line="336" w:lineRule="auto"/>
        <w:jc w:val="center"/>
        <w:rPr>
          <w:rFonts w:ascii="Montserrat" w:eastAsia="Times New Roman" w:hAnsi="Montserrat" w:cs="Arial"/>
          <w:b/>
          <w:lang w:eastAsia="pl-PL"/>
        </w:rPr>
      </w:pPr>
      <w:r w:rsidRPr="00F806BD">
        <w:rPr>
          <w:rFonts w:ascii="Montserrat" w:eastAsia="Times New Roman" w:hAnsi="Montserrat" w:cs="Arial"/>
          <w:b/>
          <w:lang w:eastAsia="pl-PL"/>
        </w:rPr>
        <w:t>ustalam</w:t>
      </w:r>
    </w:p>
    <w:p w14:paraId="5C69EF78" w14:textId="77777777" w:rsidR="00575884" w:rsidRPr="00F806BD" w:rsidRDefault="00575884" w:rsidP="00575884">
      <w:pPr>
        <w:spacing w:after="0" w:line="336" w:lineRule="auto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 xml:space="preserve">warunki zabudowy dla inwestycji polegającej na </w:t>
      </w:r>
      <w:r w:rsidRPr="00F806BD">
        <w:rPr>
          <w:rFonts w:ascii="Montserrat" w:hAnsi="Montserrat"/>
        </w:rPr>
        <w:t>budowie farmy fotowoltaicznej zlokalizowanej na części działek nr: 77/1, 101, 102/3, 103/3, 104, obręb Malinnik, gmina Miłomłyn</w:t>
      </w:r>
      <w:r w:rsidRPr="00F806BD">
        <w:rPr>
          <w:rFonts w:ascii="Montserrat" w:eastAsia="Times New Roman" w:hAnsi="Montserrat" w:cs="Arial"/>
          <w:lang w:eastAsia="pl-PL"/>
        </w:rPr>
        <w:t>.</w:t>
      </w:r>
    </w:p>
    <w:p w14:paraId="6714BAF0" w14:textId="77777777" w:rsidR="00575884" w:rsidRPr="00F806BD" w:rsidRDefault="00575884" w:rsidP="00575884">
      <w:pPr>
        <w:numPr>
          <w:ilvl w:val="0"/>
          <w:numId w:val="1"/>
        </w:numPr>
        <w:tabs>
          <w:tab w:val="clear" w:pos="360"/>
          <w:tab w:val="num" w:pos="567"/>
        </w:tabs>
        <w:spacing w:after="0" w:line="336" w:lineRule="auto"/>
        <w:ind w:left="567" w:hanging="567"/>
        <w:jc w:val="both"/>
        <w:rPr>
          <w:rFonts w:ascii="Montserrat" w:eastAsia="Times New Roman" w:hAnsi="Montserrat" w:cs="Arial"/>
          <w:b/>
          <w:lang w:eastAsia="pl-PL"/>
        </w:rPr>
      </w:pPr>
      <w:r w:rsidRPr="00F806BD">
        <w:rPr>
          <w:rFonts w:ascii="Montserrat" w:eastAsia="Times New Roman" w:hAnsi="Montserrat" w:cs="Arial"/>
          <w:b/>
          <w:lang w:eastAsia="pl-PL"/>
        </w:rPr>
        <w:t>Rodzaj zabudowy.</w:t>
      </w:r>
    </w:p>
    <w:p w14:paraId="21547C0E" w14:textId="77777777" w:rsidR="00575884" w:rsidRPr="00F806BD" w:rsidRDefault="00575884" w:rsidP="00575884">
      <w:pPr>
        <w:numPr>
          <w:ilvl w:val="1"/>
          <w:numId w:val="1"/>
        </w:numPr>
        <w:spacing w:after="0" w:line="336" w:lineRule="auto"/>
        <w:ind w:left="540" w:hanging="540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Infrastruktura odnawialnego źródła energii.</w:t>
      </w:r>
    </w:p>
    <w:p w14:paraId="4127EA05" w14:textId="77777777" w:rsidR="00575884" w:rsidRPr="00F806BD" w:rsidRDefault="00575884" w:rsidP="00575884">
      <w:pPr>
        <w:numPr>
          <w:ilvl w:val="0"/>
          <w:numId w:val="1"/>
        </w:numPr>
        <w:tabs>
          <w:tab w:val="clear" w:pos="360"/>
          <w:tab w:val="num" w:pos="567"/>
        </w:tabs>
        <w:spacing w:after="0" w:line="336" w:lineRule="auto"/>
        <w:ind w:left="567" w:hanging="567"/>
        <w:jc w:val="both"/>
        <w:rPr>
          <w:rFonts w:ascii="Montserrat" w:eastAsia="Times New Roman" w:hAnsi="Montserrat" w:cs="Arial"/>
          <w:b/>
          <w:lang w:eastAsia="pl-PL"/>
        </w:rPr>
      </w:pPr>
      <w:r w:rsidRPr="00F806BD">
        <w:rPr>
          <w:rFonts w:ascii="Montserrat" w:eastAsia="Times New Roman" w:hAnsi="Montserrat" w:cs="Arial"/>
          <w:b/>
          <w:lang w:eastAsia="pl-PL"/>
        </w:rPr>
        <w:t>Funkcja zabudowy i zagospodarowania terenu.</w:t>
      </w:r>
    </w:p>
    <w:p w14:paraId="33499FDA" w14:textId="77777777" w:rsidR="00575884" w:rsidRPr="00F806BD" w:rsidRDefault="00575884" w:rsidP="00575884">
      <w:pPr>
        <w:numPr>
          <w:ilvl w:val="1"/>
          <w:numId w:val="1"/>
        </w:numPr>
        <w:tabs>
          <w:tab w:val="num" w:pos="540"/>
        </w:tabs>
        <w:spacing w:after="0" w:line="336" w:lineRule="auto"/>
        <w:ind w:left="567" w:hanging="567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Budowa farmy fotowoltaicznej z kontenerową stacją (transformatorowo-kontrolną) w tym:</w:t>
      </w:r>
    </w:p>
    <w:p w14:paraId="2A864676" w14:textId="77777777" w:rsidR="00575884" w:rsidRPr="00F806BD" w:rsidRDefault="00575884" w:rsidP="00575884">
      <w:pPr>
        <w:pStyle w:val="Akapitzlist"/>
        <w:numPr>
          <w:ilvl w:val="0"/>
          <w:numId w:val="11"/>
        </w:numPr>
        <w:tabs>
          <w:tab w:val="num" w:pos="1134"/>
        </w:tabs>
        <w:spacing w:after="0" w:line="336" w:lineRule="auto"/>
        <w:ind w:left="1134" w:hanging="207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Kontenerowe stacje – do 21 szt.;</w:t>
      </w:r>
    </w:p>
    <w:p w14:paraId="7C49F5A7" w14:textId="77777777" w:rsidR="00575884" w:rsidRPr="00F806BD" w:rsidRDefault="00575884" w:rsidP="00575884">
      <w:pPr>
        <w:pStyle w:val="Akapitzlist"/>
        <w:numPr>
          <w:ilvl w:val="0"/>
          <w:numId w:val="11"/>
        </w:numPr>
        <w:tabs>
          <w:tab w:val="num" w:pos="1134"/>
        </w:tabs>
        <w:spacing w:after="0" w:line="336" w:lineRule="auto"/>
        <w:ind w:left="1134" w:hanging="207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Panele fotowoltaiczne do 52 500 szt. o łącznej mocy do 21 MW;</w:t>
      </w:r>
    </w:p>
    <w:p w14:paraId="3C62113D" w14:textId="77777777" w:rsidR="00575884" w:rsidRPr="00F806BD" w:rsidRDefault="00575884" w:rsidP="00575884">
      <w:pPr>
        <w:pStyle w:val="Akapitzlist"/>
        <w:numPr>
          <w:ilvl w:val="0"/>
          <w:numId w:val="11"/>
        </w:numPr>
        <w:tabs>
          <w:tab w:val="num" w:pos="1134"/>
        </w:tabs>
        <w:spacing w:after="0" w:line="336" w:lineRule="auto"/>
        <w:ind w:left="1134" w:hanging="207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Konstrukcje wsporcze paneli do 4375 szt.;</w:t>
      </w:r>
    </w:p>
    <w:p w14:paraId="193C1785" w14:textId="77777777" w:rsidR="00575884" w:rsidRPr="00F806BD" w:rsidRDefault="00575884" w:rsidP="00575884">
      <w:pPr>
        <w:pStyle w:val="Akapitzlist"/>
        <w:numPr>
          <w:ilvl w:val="0"/>
          <w:numId w:val="11"/>
        </w:numPr>
        <w:tabs>
          <w:tab w:val="num" w:pos="1134"/>
        </w:tabs>
        <w:spacing w:after="0" w:line="336" w:lineRule="auto"/>
        <w:ind w:left="1134" w:hanging="207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Infrastruktura naziemna i podziemna związana z konstrukcją nośną paneli fotowoltaicznych,</w:t>
      </w:r>
    </w:p>
    <w:p w14:paraId="315F124C" w14:textId="77777777" w:rsidR="00575884" w:rsidRPr="00F806BD" w:rsidRDefault="00575884" w:rsidP="00575884">
      <w:pPr>
        <w:pStyle w:val="Akapitzlist"/>
        <w:numPr>
          <w:ilvl w:val="0"/>
          <w:numId w:val="11"/>
        </w:numPr>
        <w:tabs>
          <w:tab w:val="num" w:pos="1134"/>
        </w:tabs>
        <w:spacing w:after="0" w:line="336" w:lineRule="auto"/>
        <w:ind w:left="1134" w:hanging="207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Sieć energetyczna kablowa podziemna niskiego napięcia;</w:t>
      </w:r>
    </w:p>
    <w:p w14:paraId="274DC44E" w14:textId="77777777" w:rsidR="00575884" w:rsidRPr="00F806BD" w:rsidRDefault="00575884" w:rsidP="00575884">
      <w:pPr>
        <w:pStyle w:val="Akapitzlist"/>
        <w:numPr>
          <w:ilvl w:val="0"/>
          <w:numId w:val="11"/>
        </w:numPr>
        <w:tabs>
          <w:tab w:val="num" w:pos="1134"/>
        </w:tabs>
        <w:spacing w:after="0" w:line="336" w:lineRule="auto"/>
        <w:ind w:left="1134" w:hanging="207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Przyłącze elektroenergetyczne średniego napięcia;</w:t>
      </w:r>
    </w:p>
    <w:p w14:paraId="6D709DE1" w14:textId="77777777" w:rsidR="00575884" w:rsidRPr="00F806BD" w:rsidRDefault="00575884" w:rsidP="00575884">
      <w:pPr>
        <w:pStyle w:val="Akapitzlist"/>
        <w:numPr>
          <w:ilvl w:val="0"/>
          <w:numId w:val="11"/>
        </w:numPr>
        <w:tabs>
          <w:tab w:val="num" w:pos="1134"/>
        </w:tabs>
        <w:spacing w:after="0" w:line="336" w:lineRule="auto"/>
        <w:ind w:left="1134" w:hanging="207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Inwertery;</w:t>
      </w:r>
    </w:p>
    <w:p w14:paraId="1465ADC3" w14:textId="77777777" w:rsidR="00575884" w:rsidRPr="00F806BD" w:rsidRDefault="00575884" w:rsidP="00575884">
      <w:pPr>
        <w:pStyle w:val="Akapitzlist"/>
        <w:numPr>
          <w:ilvl w:val="0"/>
          <w:numId w:val="11"/>
        </w:numPr>
        <w:tabs>
          <w:tab w:val="num" w:pos="1134"/>
        </w:tabs>
        <w:spacing w:after="0" w:line="336" w:lineRule="auto"/>
        <w:ind w:left="1134" w:hanging="207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Falowniki;</w:t>
      </w:r>
    </w:p>
    <w:p w14:paraId="1BC7D068" w14:textId="77777777" w:rsidR="00575884" w:rsidRPr="00F806BD" w:rsidRDefault="00575884" w:rsidP="00575884">
      <w:pPr>
        <w:pStyle w:val="Akapitzlist"/>
        <w:numPr>
          <w:ilvl w:val="0"/>
          <w:numId w:val="11"/>
        </w:numPr>
        <w:tabs>
          <w:tab w:val="num" w:pos="1134"/>
        </w:tabs>
        <w:spacing w:after="0" w:line="336" w:lineRule="auto"/>
        <w:ind w:left="1134" w:hanging="207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System monitoringu;</w:t>
      </w:r>
    </w:p>
    <w:p w14:paraId="5B92F2F5" w14:textId="77777777" w:rsidR="00575884" w:rsidRPr="00F806BD" w:rsidRDefault="00575884" w:rsidP="00575884">
      <w:pPr>
        <w:pStyle w:val="Akapitzlist"/>
        <w:numPr>
          <w:ilvl w:val="0"/>
          <w:numId w:val="11"/>
        </w:numPr>
        <w:tabs>
          <w:tab w:val="num" w:pos="1134"/>
        </w:tabs>
        <w:spacing w:after="0" w:line="336" w:lineRule="auto"/>
        <w:ind w:left="1134" w:hanging="207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Instalacja odgromowa;</w:t>
      </w:r>
    </w:p>
    <w:p w14:paraId="2F7F7E4A" w14:textId="77777777" w:rsidR="00575884" w:rsidRPr="00F806BD" w:rsidRDefault="00575884" w:rsidP="00575884">
      <w:pPr>
        <w:pStyle w:val="Akapitzlist"/>
        <w:numPr>
          <w:ilvl w:val="0"/>
          <w:numId w:val="11"/>
        </w:numPr>
        <w:tabs>
          <w:tab w:val="num" w:pos="1134"/>
        </w:tabs>
        <w:spacing w:after="0" w:line="336" w:lineRule="auto"/>
        <w:ind w:left="1134" w:hanging="207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Kabel telekomunikacyjny,</w:t>
      </w:r>
    </w:p>
    <w:p w14:paraId="491CBC31" w14:textId="77777777" w:rsidR="00575884" w:rsidRPr="00F806BD" w:rsidRDefault="00575884" w:rsidP="00575884">
      <w:pPr>
        <w:pStyle w:val="Akapitzlist"/>
        <w:numPr>
          <w:ilvl w:val="0"/>
          <w:numId w:val="11"/>
        </w:numPr>
        <w:tabs>
          <w:tab w:val="num" w:pos="1134"/>
        </w:tabs>
        <w:spacing w:after="0" w:line="336" w:lineRule="auto"/>
        <w:ind w:left="1134" w:hanging="207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Inne niezbędne elementy infrastruktury związane z budową i eksploatacją instalacji fotowoltaiczną</w:t>
      </w:r>
    </w:p>
    <w:p w14:paraId="6E6C7F70" w14:textId="77777777" w:rsidR="00575884" w:rsidRPr="00F806BD" w:rsidRDefault="00575884" w:rsidP="00575884">
      <w:pPr>
        <w:numPr>
          <w:ilvl w:val="0"/>
          <w:numId w:val="1"/>
        </w:numPr>
        <w:tabs>
          <w:tab w:val="clear" w:pos="360"/>
          <w:tab w:val="num" w:pos="567"/>
        </w:tabs>
        <w:spacing w:after="0" w:line="336" w:lineRule="auto"/>
        <w:ind w:left="567" w:hanging="567"/>
        <w:jc w:val="both"/>
        <w:rPr>
          <w:rFonts w:ascii="Montserrat" w:eastAsia="Times New Roman" w:hAnsi="Montserrat" w:cs="Arial"/>
          <w:b/>
          <w:lang w:eastAsia="pl-PL"/>
        </w:rPr>
      </w:pPr>
      <w:r w:rsidRPr="00F806BD">
        <w:rPr>
          <w:rFonts w:ascii="Montserrat" w:eastAsia="Times New Roman" w:hAnsi="Montserrat" w:cs="Arial"/>
          <w:b/>
          <w:lang w:eastAsia="pl-PL"/>
        </w:rPr>
        <w:t>Warunki i wymagania kształtowania ładu przestrzennego, w szczególności ustalenia:</w:t>
      </w:r>
    </w:p>
    <w:p w14:paraId="5361CB25" w14:textId="77777777" w:rsidR="00575884" w:rsidRPr="00F806BD" w:rsidRDefault="00575884" w:rsidP="00575884">
      <w:pPr>
        <w:pStyle w:val="Akapitzlist"/>
        <w:numPr>
          <w:ilvl w:val="0"/>
          <w:numId w:val="10"/>
        </w:numPr>
        <w:spacing w:after="0" w:line="336" w:lineRule="auto"/>
        <w:ind w:left="851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lastRenderedPageBreak/>
        <w:t>linii zabudowy – dotyczącej wszelkich obiektów kubaturowych jak i konstrukcji wspornych paneli – jak w załączniku Nr 1 do decyzji;</w:t>
      </w:r>
    </w:p>
    <w:p w14:paraId="69BB342A" w14:textId="77777777" w:rsidR="00575884" w:rsidRPr="00F806BD" w:rsidRDefault="00575884" w:rsidP="00575884">
      <w:pPr>
        <w:pStyle w:val="Akapitzlist"/>
        <w:numPr>
          <w:ilvl w:val="0"/>
          <w:numId w:val="10"/>
        </w:numPr>
        <w:spacing w:after="0" w:line="336" w:lineRule="auto"/>
        <w:ind w:left="851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powierzchnia podlegająca przekształceniu – do 104 500 m</w:t>
      </w:r>
      <w:r w:rsidRPr="00F806BD">
        <w:rPr>
          <w:rFonts w:ascii="Montserrat" w:eastAsia="Times New Roman" w:hAnsi="Montserrat" w:cs="Arial"/>
          <w:vertAlign w:val="superscript"/>
          <w:lang w:eastAsia="pl-PL"/>
        </w:rPr>
        <w:t>2</w:t>
      </w:r>
      <w:r w:rsidRPr="00F806BD">
        <w:rPr>
          <w:rFonts w:ascii="Montserrat" w:eastAsia="Times New Roman" w:hAnsi="Montserrat" w:cs="Arial"/>
          <w:lang w:eastAsia="pl-PL"/>
        </w:rPr>
        <w:t>;</w:t>
      </w:r>
    </w:p>
    <w:p w14:paraId="4DCD1469" w14:textId="77777777" w:rsidR="00575884" w:rsidRPr="00F806BD" w:rsidRDefault="00575884" w:rsidP="00575884">
      <w:pPr>
        <w:pStyle w:val="Akapitzlist"/>
        <w:numPr>
          <w:ilvl w:val="0"/>
          <w:numId w:val="10"/>
        </w:numPr>
        <w:spacing w:after="0" w:line="336" w:lineRule="auto"/>
        <w:ind w:left="851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wysokości paneli – do 4 m;</w:t>
      </w:r>
    </w:p>
    <w:p w14:paraId="4F94E23A" w14:textId="77777777" w:rsidR="00575884" w:rsidRPr="00F806BD" w:rsidRDefault="00575884" w:rsidP="00575884">
      <w:pPr>
        <w:pStyle w:val="Akapitzlist"/>
        <w:numPr>
          <w:ilvl w:val="0"/>
          <w:numId w:val="10"/>
        </w:numPr>
        <w:spacing w:after="0" w:line="336" w:lineRule="auto"/>
        <w:ind w:left="851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gabaryty obiektów kubaturowych – kontenerowa stacja (transformatorowo-kontrolną)   do 21 sztuk.:</w:t>
      </w:r>
    </w:p>
    <w:p w14:paraId="1DB79BFF" w14:textId="77777777" w:rsidR="00575884" w:rsidRPr="00F806BD" w:rsidRDefault="00575884" w:rsidP="00575884">
      <w:pPr>
        <w:spacing w:after="0" w:line="336" w:lineRule="auto"/>
        <w:ind w:left="851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- wysokość – od 2 m do 4 m,</w:t>
      </w:r>
    </w:p>
    <w:p w14:paraId="27E83FB5" w14:textId="77777777" w:rsidR="00575884" w:rsidRPr="00F806BD" w:rsidRDefault="00575884" w:rsidP="00575884">
      <w:pPr>
        <w:spacing w:after="0" w:line="336" w:lineRule="auto"/>
        <w:ind w:left="851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- długość – od 3 m do 6 m,</w:t>
      </w:r>
    </w:p>
    <w:p w14:paraId="13E0D3D4" w14:textId="77777777" w:rsidR="00575884" w:rsidRPr="00F806BD" w:rsidRDefault="00575884" w:rsidP="00575884">
      <w:pPr>
        <w:spacing w:after="0" w:line="336" w:lineRule="auto"/>
        <w:ind w:left="851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- kubatura – od 12 m</w:t>
      </w:r>
      <w:r w:rsidRPr="00F806BD">
        <w:rPr>
          <w:rFonts w:ascii="Montserrat" w:eastAsia="Times New Roman" w:hAnsi="Montserrat" w:cs="Arial"/>
          <w:vertAlign w:val="superscript"/>
          <w:lang w:eastAsia="pl-PL"/>
        </w:rPr>
        <w:t>3</w:t>
      </w:r>
      <w:r w:rsidRPr="00F806BD">
        <w:rPr>
          <w:rFonts w:ascii="Montserrat" w:eastAsia="Times New Roman" w:hAnsi="Montserrat" w:cs="Arial"/>
          <w:lang w:eastAsia="pl-PL"/>
        </w:rPr>
        <w:t xml:space="preserve"> do 96 m</w:t>
      </w:r>
      <w:r w:rsidRPr="00F806BD">
        <w:rPr>
          <w:rFonts w:ascii="Montserrat" w:eastAsia="Times New Roman" w:hAnsi="Montserrat" w:cs="Arial"/>
          <w:vertAlign w:val="superscript"/>
          <w:lang w:eastAsia="pl-PL"/>
        </w:rPr>
        <w:t>3</w:t>
      </w:r>
      <w:r w:rsidRPr="00F806BD">
        <w:rPr>
          <w:rFonts w:ascii="Montserrat" w:eastAsia="Times New Roman" w:hAnsi="Montserrat" w:cs="Arial"/>
          <w:lang w:eastAsia="pl-PL"/>
        </w:rPr>
        <w:t>,</w:t>
      </w:r>
    </w:p>
    <w:p w14:paraId="332B3406" w14:textId="77777777" w:rsidR="00575884" w:rsidRPr="00F806BD" w:rsidRDefault="00575884" w:rsidP="00575884">
      <w:pPr>
        <w:spacing w:after="0" w:line="336" w:lineRule="auto"/>
        <w:ind w:left="851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- szerokość - od 2 m do 4 m,</w:t>
      </w:r>
    </w:p>
    <w:p w14:paraId="1B779303" w14:textId="77777777" w:rsidR="00575884" w:rsidRPr="00F806BD" w:rsidRDefault="00575884" w:rsidP="00575884">
      <w:pPr>
        <w:spacing w:after="0" w:line="336" w:lineRule="auto"/>
        <w:ind w:left="851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- kąt nachylenia dachu – do 12</w:t>
      </w:r>
      <w:r w:rsidRPr="00F806BD">
        <w:rPr>
          <w:rFonts w:ascii="Montserrat" w:eastAsia="Times New Roman" w:hAnsi="Montserrat" w:cs="Arial"/>
          <w:vertAlign w:val="superscript"/>
          <w:lang w:eastAsia="pl-PL"/>
        </w:rPr>
        <w:t>0</w:t>
      </w:r>
      <w:r w:rsidRPr="00F806BD">
        <w:rPr>
          <w:rFonts w:ascii="Montserrat" w:eastAsia="Times New Roman" w:hAnsi="Montserrat" w:cs="Arial"/>
          <w:lang w:eastAsia="pl-PL"/>
        </w:rPr>
        <w:t>,</w:t>
      </w:r>
    </w:p>
    <w:p w14:paraId="554FA2D8" w14:textId="77777777" w:rsidR="00575884" w:rsidRPr="00F806BD" w:rsidRDefault="00575884" w:rsidP="00575884">
      <w:pPr>
        <w:spacing w:after="0" w:line="336" w:lineRule="auto"/>
        <w:ind w:left="851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- powierzchnia zabudowy – od 6 m</w:t>
      </w:r>
      <w:r w:rsidRPr="00F806BD">
        <w:rPr>
          <w:rFonts w:ascii="Montserrat" w:eastAsia="Times New Roman" w:hAnsi="Montserrat" w:cs="Arial"/>
          <w:vertAlign w:val="superscript"/>
          <w:lang w:eastAsia="pl-PL"/>
        </w:rPr>
        <w:t>2</w:t>
      </w:r>
      <w:r w:rsidRPr="00F806BD">
        <w:rPr>
          <w:rFonts w:ascii="Montserrat" w:eastAsia="Times New Roman" w:hAnsi="Montserrat" w:cs="Arial"/>
          <w:lang w:eastAsia="pl-PL"/>
        </w:rPr>
        <w:t xml:space="preserve">  do 24 m</w:t>
      </w:r>
      <w:r w:rsidRPr="00F806BD">
        <w:rPr>
          <w:rFonts w:ascii="Montserrat" w:eastAsia="Times New Roman" w:hAnsi="Montserrat" w:cs="Arial"/>
          <w:vertAlign w:val="superscript"/>
          <w:lang w:eastAsia="pl-PL"/>
        </w:rPr>
        <w:t>2</w:t>
      </w:r>
      <w:r w:rsidRPr="00F806BD">
        <w:rPr>
          <w:rFonts w:ascii="Montserrat" w:eastAsia="Times New Roman" w:hAnsi="Montserrat" w:cs="Arial"/>
          <w:lang w:eastAsia="pl-PL"/>
        </w:rPr>
        <w:t xml:space="preserve"> (każdy obiekt);</w:t>
      </w:r>
    </w:p>
    <w:p w14:paraId="6B27209E" w14:textId="77777777" w:rsidR="00575884" w:rsidRPr="00F806BD" w:rsidRDefault="00575884" w:rsidP="00575884">
      <w:pPr>
        <w:spacing w:after="0" w:line="336" w:lineRule="auto"/>
        <w:ind w:left="851" w:hanging="425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e)   gabaryty inżynierskie – konstrukcje wsporcze paneli - 4375 szt.:</w:t>
      </w:r>
    </w:p>
    <w:p w14:paraId="571B39AB" w14:textId="77777777" w:rsidR="00575884" w:rsidRPr="00F806BD" w:rsidRDefault="00575884" w:rsidP="00575884">
      <w:pPr>
        <w:spacing w:after="0" w:line="336" w:lineRule="auto"/>
        <w:ind w:left="851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- wysokość – od 2 m do 4 m,</w:t>
      </w:r>
    </w:p>
    <w:p w14:paraId="4A804118" w14:textId="77777777" w:rsidR="00575884" w:rsidRPr="00F806BD" w:rsidRDefault="00575884" w:rsidP="00575884">
      <w:pPr>
        <w:spacing w:after="0" w:line="336" w:lineRule="auto"/>
        <w:ind w:left="851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- długość – od 4 m do 12 m,</w:t>
      </w:r>
    </w:p>
    <w:p w14:paraId="354E05BE" w14:textId="77777777" w:rsidR="00575884" w:rsidRPr="00F806BD" w:rsidRDefault="00575884" w:rsidP="00575884">
      <w:pPr>
        <w:spacing w:after="0" w:line="336" w:lineRule="auto"/>
        <w:ind w:left="851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- szerokość - od 2 m do 5 m,</w:t>
      </w:r>
    </w:p>
    <w:p w14:paraId="0D3F2391" w14:textId="77777777" w:rsidR="00575884" w:rsidRPr="00F806BD" w:rsidRDefault="00575884" w:rsidP="00575884">
      <w:pPr>
        <w:spacing w:after="0" w:line="336" w:lineRule="auto"/>
        <w:ind w:left="851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- powierzchnia zabudowy – od 8 m</w:t>
      </w:r>
      <w:r w:rsidRPr="00F806BD">
        <w:rPr>
          <w:rFonts w:ascii="Montserrat" w:eastAsia="Times New Roman" w:hAnsi="Montserrat" w:cs="Arial"/>
          <w:vertAlign w:val="superscript"/>
          <w:lang w:eastAsia="pl-PL"/>
        </w:rPr>
        <w:t>2</w:t>
      </w:r>
      <w:r w:rsidRPr="00F806BD">
        <w:rPr>
          <w:rFonts w:ascii="Montserrat" w:eastAsia="Times New Roman" w:hAnsi="Montserrat" w:cs="Arial"/>
          <w:lang w:eastAsia="pl-PL"/>
        </w:rPr>
        <w:t xml:space="preserve">  do 60 m</w:t>
      </w:r>
      <w:r w:rsidRPr="00F806BD">
        <w:rPr>
          <w:rFonts w:ascii="Montserrat" w:eastAsia="Times New Roman" w:hAnsi="Montserrat" w:cs="Arial"/>
          <w:vertAlign w:val="superscript"/>
          <w:lang w:eastAsia="pl-PL"/>
        </w:rPr>
        <w:t>2</w:t>
      </w:r>
      <w:r w:rsidRPr="00F806BD">
        <w:rPr>
          <w:rFonts w:ascii="Montserrat" w:eastAsia="Times New Roman" w:hAnsi="Montserrat" w:cs="Arial"/>
          <w:lang w:eastAsia="pl-PL"/>
        </w:rPr>
        <w:t xml:space="preserve"> (każdy obiekt).</w:t>
      </w:r>
    </w:p>
    <w:p w14:paraId="4A442779" w14:textId="77777777" w:rsidR="00575884" w:rsidRPr="00F806BD" w:rsidRDefault="00575884" w:rsidP="00575884">
      <w:pPr>
        <w:pStyle w:val="Akapitzlist"/>
        <w:numPr>
          <w:ilvl w:val="1"/>
          <w:numId w:val="3"/>
        </w:numPr>
        <w:tabs>
          <w:tab w:val="clear" w:pos="360"/>
          <w:tab w:val="num" w:pos="540"/>
        </w:tabs>
        <w:spacing w:after="0" w:line="336" w:lineRule="auto"/>
        <w:ind w:left="540" w:hanging="540"/>
        <w:jc w:val="both"/>
        <w:rPr>
          <w:rFonts w:ascii="Montserrat" w:eastAsia="Times New Roman" w:hAnsi="Montserrat" w:cs="Arial"/>
          <w:b/>
          <w:i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 xml:space="preserve">W sprawach nieustalonych w treści decyzji mają zastosowanie (odpowiednio) przepisy rozporządzenia Ministra Infrastruktury z dnia 12 kwietnia 2002r. w sprawie warunków technicznych, jakim powinny odpowiadać budynki i ich usytuowanie (Dz. U. z 2022r., poz. 1225 z </w:t>
      </w:r>
      <w:proofErr w:type="spellStart"/>
      <w:r w:rsidRPr="00F806BD">
        <w:rPr>
          <w:rFonts w:ascii="Montserrat" w:eastAsia="Times New Roman" w:hAnsi="Montserrat" w:cs="Arial"/>
          <w:lang w:eastAsia="pl-PL"/>
        </w:rPr>
        <w:t>późn</w:t>
      </w:r>
      <w:proofErr w:type="spellEnd"/>
      <w:r w:rsidRPr="00F806BD">
        <w:rPr>
          <w:rFonts w:ascii="Montserrat" w:eastAsia="Times New Roman" w:hAnsi="Montserrat" w:cs="Arial"/>
          <w:lang w:eastAsia="pl-PL"/>
        </w:rPr>
        <w:t>. zm.)</w:t>
      </w:r>
      <w:r w:rsidRPr="00F806BD">
        <w:rPr>
          <w:rFonts w:ascii="Montserrat" w:eastAsia="Times New Roman" w:hAnsi="Montserrat" w:cs="Arial"/>
          <w:color w:val="000000"/>
          <w:lang w:eastAsia="pl-PL"/>
        </w:rPr>
        <w:t>.</w:t>
      </w:r>
    </w:p>
    <w:p w14:paraId="33AB36D5" w14:textId="77777777" w:rsidR="00575884" w:rsidRPr="00F806BD" w:rsidRDefault="00575884" w:rsidP="00575884">
      <w:pPr>
        <w:numPr>
          <w:ilvl w:val="1"/>
          <w:numId w:val="3"/>
        </w:numPr>
        <w:tabs>
          <w:tab w:val="clear" w:pos="360"/>
          <w:tab w:val="num" w:pos="567"/>
        </w:tabs>
        <w:spacing w:after="0" w:line="336" w:lineRule="auto"/>
        <w:ind w:left="567" w:hanging="567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Projekt zagospodarowania terenu inwestycji należy opracować na kopii mapy zasadniczej do celów projektowych i uzgodnić z dysponentami sieci uzbrojenia terenu.</w:t>
      </w:r>
    </w:p>
    <w:p w14:paraId="4A63561B" w14:textId="77777777" w:rsidR="00575884" w:rsidRPr="00F806BD" w:rsidRDefault="00575884" w:rsidP="00575884">
      <w:pPr>
        <w:numPr>
          <w:ilvl w:val="0"/>
          <w:numId w:val="1"/>
        </w:numPr>
        <w:tabs>
          <w:tab w:val="clear" w:pos="360"/>
          <w:tab w:val="num" w:pos="567"/>
        </w:tabs>
        <w:spacing w:after="0" w:line="336" w:lineRule="auto"/>
        <w:ind w:left="567" w:hanging="567"/>
        <w:jc w:val="both"/>
        <w:rPr>
          <w:rFonts w:ascii="Montserrat" w:eastAsia="Times New Roman" w:hAnsi="Montserrat" w:cs="Arial"/>
          <w:b/>
          <w:lang w:eastAsia="pl-PL"/>
        </w:rPr>
      </w:pPr>
      <w:r w:rsidRPr="00F806BD">
        <w:rPr>
          <w:rFonts w:ascii="Montserrat" w:eastAsia="Times New Roman" w:hAnsi="Montserrat" w:cs="Arial"/>
          <w:b/>
          <w:lang w:eastAsia="pl-PL"/>
        </w:rPr>
        <w:t>Ustalenia dotyczące ochrony środowiska, przyrody i krajobrazu.</w:t>
      </w:r>
    </w:p>
    <w:p w14:paraId="5FEB23A5" w14:textId="77777777" w:rsidR="00575884" w:rsidRPr="00F806BD" w:rsidRDefault="00575884" w:rsidP="00575884">
      <w:pPr>
        <w:numPr>
          <w:ilvl w:val="1"/>
          <w:numId w:val="1"/>
        </w:numPr>
        <w:tabs>
          <w:tab w:val="num" w:pos="540"/>
        </w:tabs>
        <w:spacing w:after="0" w:line="336" w:lineRule="auto"/>
        <w:ind w:left="540" w:hanging="540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 xml:space="preserve">W zakresie ochrony środowiska i zdrowia ludzi mają zastosowanie przepisy ustawy z dnia 27 kwietnia 2001r. Prawo ochrony środowiska (Dz. U. z 2024r., poz. 54) związane z przepisami art. 71 i następnymi ustawy z dnia 3 października 2008r. o udostępnianiu informacji o środowisku i jego ochronie, udziale społeczeństwa w ochronie środowiska oraz ocenach oddziaływania na środowisko (Dz. U. z 2023r., poz. 1094 z </w:t>
      </w:r>
      <w:proofErr w:type="spellStart"/>
      <w:r w:rsidRPr="00F806BD">
        <w:rPr>
          <w:rFonts w:ascii="Montserrat" w:eastAsia="Times New Roman" w:hAnsi="Montserrat" w:cs="Arial"/>
          <w:lang w:eastAsia="pl-PL"/>
        </w:rPr>
        <w:t>późn</w:t>
      </w:r>
      <w:proofErr w:type="spellEnd"/>
      <w:r w:rsidRPr="00F806BD">
        <w:rPr>
          <w:rFonts w:ascii="Montserrat" w:eastAsia="Times New Roman" w:hAnsi="Montserrat" w:cs="Arial"/>
          <w:lang w:eastAsia="pl-PL"/>
        </w:rPr>
        <w:t>. zm.).</w:t>
      </w:r>
    </w:p>
    <w:p w14:paraId="5AC368FA" w14:textId="77777777" w:rsidR="00575884" w:rsidRPr="00F806BD" w:rsidRDefault="00575884" w:rsidP="00575884">
      <w:pPr>
        <w:pStyle w:val="Tekstpodstawowywcity"/>
        <w:numPr>
          <w:ilvl w:val="1"/>
          <w:numId w:val="8"/>
        </w:numPr>
        <w:tabs>
          <w:tab w:val="num" w:pos="540"/>
        </w:tabs>
        <w:spacing w:line="336" w:lineRule="auto"/>
        <w:ind w:left="540" w:hanging="540"/>
        <w:rPr>
          <w:rFonts w:ascii="Montserrat" w:hAnsi="Montserrat" w:cs="Arial"/>
          <w:color w:val="FF0000"/>
          <w:sz w:val="22"/>
          <w:szCs w:val="22"/>
          <w:lang w:eastAsia="pl-PL"/>
        </w:rPr>
      </w:pPr>
      <w:r w:rsidRPr="00F806BD">
        <w:rPr>
          <w:rFonts w:ascii="Montserrat" w:hAnsi="Montserrat" w:cs="Arial"/>
          <w:sz w:val="22"/>
          <w:szCs w:val="22"/>
        </w:rPr>
        <w:t xml:space="preserve">W zakresie ochrony przyrody nie mają zastosowania przepisy ustawy z dnia 16 kwietnia 2004 r. o ochronie przyrody </w:t>
      </w:r>
      <w:r w:rsidRPr="00F806BD">
        <w:rPr>
          <w:rFonts w:ascii="Montserrat" w:hAnsi="Montserrat"/>
          <w:sz w:val="22"/>
          <w:szCs w:val="22"/>
        </w:rPr>
        <w:t xml:space="preserve">(Dz. U. 2023r. poz. 1336 z </w:t>
      </w:r>
      <w:proofErr w:type="spellStart"/>
      <w:r w:rsidRPr="00F806BD">
        <w:rPr>
          <w:rFonts w:ascii="Montserrat" w:hAnsi="Montserrat"/>
          <w:sz w:val="22"/>
          <w:szCs w:val="22"/>
        </w:rPr>
        <w:t>późn</w:t>
      </w:r>
      <w:proofErr w:type="spellEnd"/>
      <w:r w:rsidRPr="00F806BD">
        <w:rPr>
          <w:rFonts w:ascii="Montserrat" w:hAnsi="Montserrat"/>
          <w:sz w:val="22"/>
          <w:szCs w:val="22"/>
        </w:rPr>
        <w:t>. zm.)</w:t>
      </w:r>
      <w:r w:rsidRPr="000C3977">
        <w:rPr>
          <w:rFonts w:ascii="Montserrat" w:hAnsi="Montserrat" w:cs="Arial"/>
          <w:sz w:val="22"/>
          <w:szCs w:val="22"/>
          <w:lang w:eastAsia="pl-PL"/>
        </w:rPr>
        <w:t>.</w:t>
      </w:r>
    </w:p>
    <w:p w14:paraId="159F1836" w14:textId="77777777" w:rsidR="00575884" w:rsidRPr="00F806BD" w:rsidRDefault="00575884" w:rsidP="00575884">
      <w:pPr>
        <w:numPr>
          <w:ilvl w:val="0"/>
          <w:numId w:val="1"/>
        </w:numPr>
        <w:tabs>
          <w:tab w:val="clear" w:pos="360"/>
          <w:tab w:val="num" w:pos="567"/>
        </w:tabs>
        <w:spacing w:after="0" w:line="336" w:lineRule="auto"/>
        <w:ind w:left="567" w:hanging="567"/>
        <w:jc w:val="both"/>
        <w:rPr>
          <w:rFonts w:ascii="Montserrat" w:eastAsia="Times New Roman" w:hAnsi="Montserrat" w:cs="Arial"/>
          <w:b/>
          <w:lang w:eastAsia="pl-PL"/>
        </w:rPr>
      </w:pPr>
      <w:r w:rsidRPr="00F806BD">
        <w:rPr>
          <w:rFonts w:ascii="Montserrat" w:eastAsia="Times New Roman" w:hAnsi="Montserrat" w:cs="Arial"/>
          <w:b/>
          <w:lang w:eastAsia="pl-PL"/>
        </w:rPr>
        <w:t>Ustalenia dotyczące ochrony dziedzictwa kulturowego i zabytków oraz dóbr kultury współczesnej.</w:t>
      </w:r>
    </w:p>
    <w:p w14:paraId="13709DD8" w14:textId="77777777" w:rsidR="00575884" w:rsidRPr="00F806BD" w:rsidRDefault="00575884" w:rsidP="00575884">
      <w:pPr>
        <w:pStyle w:val="Tekstpodstawowywcity"/>
        <w:numPr>
          <w:ilvl w:val="1"/>
          <w:numId w:val="8"/>
        </w:numPr>
        <w:tabs>
          <w:tab w:val="clear" w:pos="1170"/>
          <w:tab w:val="num" w:pos="540"/>
        </w:tabs>
        <w:ind w:left="540" w:hanging="540"/>
        <w:rPr>
          <w:rFonts w:ascii="Montserrat" w:hAnsi="Montserrat" w:cs="Arial"/>
          <w:sz w:val="22"/>
          <w:szCs w:val="22"/>
        </w:rPr>
      </w:pPr>
      <w:r w:rsidRPr="00F806BD">
        <w:rPr>
          <w:rFonts w:ascii="Montserrat" w:hAnsi="Montserrat" w:cs="Arial"/>
          <w:sz w:val="22"/>
          <w:szCs w:val="22"/>
        </w:rPr>
        <w:t xml:space="preserve">W zakresie ochrony dziedzictwa kulturowego i zabytków oraz dóbr kultury współczesnej w sprawie nie mają zastosowania przepisy ustawy z dnia 23 lipca </w:t>
      </w:r>
      <w:r w:rsidRPr="00F806BD">
        <w:rPr>
          <w:rFonts w:ascii="Montserrat" w:hAnsi="Montserrat" w:cs="Arial"/>
          <w:sz w:val="22"/>
          <w:szCs w:val="22"/>
        </w:rPr>
        <w:lastRenderedPageBreak/>
        <w:t xml:space="preserve">2003r. o ochronie zabytków i opiece nad zabytkami (Dz. U. z 2022r., poz. 840 z </w:t>
      </w:r>
      <w:proofErr w:type="spellStart"/>
      <w:r w:rsidRPr="00F806BD">
        <w:rPr>
          <w:rFonts w:ascii="Montserrat" w:hAnsi="Montserrat" w:cs="Arial"/>
          <w:sz w:val="22"/>
          <w:szCs w:val="22"/>
        </w:rPr>
        <w:t>późn</w:t>
      </w:r>
      <w:proofErr w:type="spellEnd"/>
      <w:r w:rsidRPr="00F806BD">
        <w:rPr>
          <w:rFonts w:ascii="Montserrat" w:hAnsi="Montserrat" w:cs="Arial"/>
          <w:sz w:val="22"/>
          <w:szCs w:val="22"/>
        </w:rPr>
        <w:t>. zm.).</w:t>
      </w:r>
    </w:p>
    <w:p w14:paraId="62643338" w14:textId="77777777" w:rsidR="00575884" w:rsidRPr="00F806BD" w:rsidRDefault="00575884" w:rsidP="00575884">
      <w:pPr>
        <w:numPr>
          <w:ilvl w:val="0"/>
          <w:numId w:val="1"/>
        </w:numPr>
        <w:tabs>
          <w:tab w:val="clear" w:pos="360"/>
          <w:tab w:val="num" w:pos="567"/>
        </w:tabs>
        <w:spacing w:after="0" w:line="336" w:lineRule="auto"/>
        <w:ind w:left="567" w:hanging="567"/>
        <w:jc w:val="both"/>
        <w:rPr>
          <w:rFonts w:ascii="Montserrat" w:eastAsia="Times New Roman" w:hAnsi="Montserrat" w:cs="Arial"/>
          <w:b/>
          <w:lang w:eastAsia="pl-PL"/>
        </w:rPr>
      </w:pPr>
      <w:r w:rsidRPr="00F806BD">
        <w:rPr>
          <w:rFonts w:ascii="Montserrat" w:eastAsia="Times New Roman" w:hAnsi="Montserrat" w:cs="Arial"/>
          <w:b/>
          <w:lang w:eastAsia="pl-PL"/>
        </w:rPr>
        <w:t xml:space="preserve">Warunki obsługi w zakresie komunikacji i infrastruktury technicznej: </w:t>
      </w:r>
    </w:p>
    <w:p w14:paraId="390DDDAF" w14:textId="77777777" w:rsidR="00575884" w:rsidRPr="00F806BD" w:rsidRDefault="00575884" w:rsidP="00575884">
      <w:pPr>
        <w:numPr>
          <w:ilvl w:val="2"/>
          <w:numId w:val="4"/>
        </w:numPr>
        <w:tabs>
          <w:tab w:val="clear" w:pos="1080"/>
          <w:tab w:val="num" w:pos="851"/>
          <w:tab w:val="num" w:pos="3600"/>
        </w:tabs>
        <w:spacing w:after="0" w:line="336" w:lineRule="auto"/>
        <w:ind w:left="851" w:hanging="284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zaopatrzenie w wodę – nie dotyczy;</w:t>
      </w:r>
    </w:p>
    <w:p w14:paraId="63FE6374" w14:textId="77777777" w:rsidR="00575884" w:rsidRPr="00F806BD" w:rsidRDefault="00575884" w:rsidP="00575884">
      <w:pPr>
        <w:numPr>
          <w:ilvl w:val="2"/>
          <w:numId w:val="4"/>
        </w:numPr>
        <w:tabs>
          <w:tab w:val="clear" w:pos="1080"/>
          <w:tab w:val="num" w:pos="851"/>
          <w:tab w:val="num" w:pos="3600"/>
        </w:tabs>
        <w:spacing w:after="0" w:line="336" w:lineRule="auto"/>
        <w:ind w:left="851" w:hanging="284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 xml:space="preserve">zaopatrzenie w energię elektryczną – z sieci rozdzielczej </w:t>
      </w:r>
      <w:proofErr w:type="spellStart"/>
      <w:r w:rsidRPr="00F806BD">
        <w:rPr>
          <w:rFonts w:ascii="Montserrat" w:eastAsia="Times New Roman" w:hAnsi="Montserrat" w:cs="Arial"/>
          <w:lang w:eastAsia="pl-PL"/>
        </w:rPr>
        <w:t>ee</w:t>
      </w:r>
      <w:proofErr w:type="spellEnd"/>
      <w:r w:rsidRPr="00F806BD">
        <w:rPr>
          <w:rFonts w:ascii="Montserrat" w:eastAsia="Times New Roman" w:hAnsi="Montserrat" w:cs="Arial"/>
          <w:lang w:eastAsia="pl-PL"/>
        </w:rPr>
        <w:t>;</w:t>
      </w:r>
    </w:p>
    <w:p w14:paraId="313A5406" w14:textId="77777777" w:rsidR="00575884" w:rsidRPr="00F806BD" w:rsidRDefault="00575884" w:rsidP="00575884">
      <w:pPr>
        <w:numPr>
          <w:ilvl w:val="2"/>
          <w:numId w:val="4"/>
        </w:numPr>
        <w:tabs>
          <w:tab w:val="clear" w:pos="1080"/>
          <w:tab w:val="num" w:pos="851"/>
          <w:tab w:val="num" w:pos="2509"/>
          <w:tab w:val="num" w:pos="3600"/>
        </w:tabs>
        <w:spacing w:after="0" w:line="336" w:lineRule="auto"/>
        <w:ind w:left="851" w:hanging="284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zaopatrzenie w energię cieplną – nie dotyczy;</w:t>
      </w:r>
    </w:p>
    <w:p w14:paraId="25B63FD3" w14:textId="77777777" w:rsidR="00575884" w:rsidRPr="00F806BD" w:rsidRDefault="00575884" w:rsidP="00575884">
      <w:pPr>
        <w:numPr>
          <w:ilvl w:val="2"/>
          <w:numId w:val="4"/>
        </w:numPr>
        <w:tabs>
          <w:tab w:val="clear" w:pos="1080"/>
          <w:tab w:val="num" w:pos="851"/>
          <w:tab w:val="num" w:pos="2509"/>
          <w:tab w:val="num" w:pos="3600"/>
        </w:tabs>
        <w:spacing w:after="0" w:line="336" w:lineRule="auto"/>
        <w:ind w:left="851" w:hanging="284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 xml:space="preserve">zaopatrzenie w środki łączności – nie dotyczy; </w:t>
      </w:r>
    </w:p>
    <w:p w14:paraId="5BBB4CBB" w14:textId="77777777" w:rsidR="00575884" w:rsidRPr="00F806BD" w:rsidRDefault="00575884" w:rsidP="00575884">
      <w:pPr>
        <w:numPr>
          <w:ilvl w:val="2"/>
          <w:numId w:val="4"/>
        </w:numPr>
        <w:tabs>
          <w:tab w:val="clear" w:pos="1080"/>
          <w:tab w:val="num" w:pos="851"/>
          <w:tab w:val="num" w:pos="2509"/>
          <w:tab w:val="num" w:pos="3600"/>
        </w:tabs>
        <w:spacing w:after="0" w:line="336" w:lineRule="auto"/>
        <w:ind w:left="851" w:hanging="284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odprowadzenie ścieków – nie dotyczy;</w:t>
      </w:r>
    </w:p>
    <w:p w14:paraId="3B7B7BEC" w14:textId="77777777" w:rsidR="00575884" w:rsidRPr="00F806BD" w:rsidRDefault="00575884" w:rsidP="00575884">
      <w:pPr>
        <w:numPr>
          <w:ilvl w:val="2"/>
          <w:numId w:val="4"/>
        </w:numPr>
        <w:tabs>
          <w:tab w:val="clear" w:pos="1080"/>
          <w:tab w:val="num" w:pos="851"/>
          <w:tab w:val="num" w:pos="2509"/>
          <w:tab w:val="num" w:pos="3600"/>
        </w:tabs>
        <w:spacing w:after="0" w:line="336" w:lineRule="auto"/>
        <w:ind w:left="851" w:hanging="284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gospodarowania odpadami – zgodnie z regulaminem utrzymania czystości i porządku na terenie gminy;</w:t>
      </w:r>
    </w:p>
    <w:p w14:paraId="0B4DEC59" w14:textId="77777777" w:rsidR="00575884" w:rsidRPr="00F806BD" w:rsidRDefault="00575884" w:rsidP="00575884">
      <w:pPr>
        <w:numPr>
          <w:ilvl w:val="2"/>
          <w:numId w:val="4"/>
        </w:numPr>
        <w:tabs>
          <w:tab w:val="clear" w:pos="1080"/>
          <w:tab w:val="num" w:pos="851"/>
          <w:tab w:val="num" w:pos="2509"/>
          <w:tab w:val="num" w:pos="3600"/>
        </w:tabs>
        <w:spacing w:after="0" w:line="336" w:lineRule="auto"/>
        <w:ind w:left="851" w:hanging="284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dostęp do drogi publicznej – dostęp do drogi publicznej gminnej (działka nr 1</w:t>
      </w:r>
      <w:bookmarkStart w:id="2" w:name="_Hlk162245605"/>
      <w:r w:rsidRPr="00F806BD">
        <w:rPr>
          <w:rFonts w:ascii="Montserrat" w:eastAsia="Times New Roman" w:hAnsi="Montserrat" w:cs="Arial"/>
          <w:lang w:eastAsia="pl-PL"/>
        </w:rPr>
        <w:t>12/1) przez drogi wewnętrzne (działki nr: 96, 105, 94);</w:t>
      </w:r>
    </w:p>
    <w:bookmarkEnd w:id="2"/>
    <w:p w14:paraId="4770BD1E" w14:textId="77777777" w:rsidR="00575884" w:rsidRPr="00F806BD" w:rsidRDefault="00575884" w:rsidP="00575884">
      <w:pPr>
        <w:numPr>
          <w:ilvl w:val="2"/>
          <w:numId w:val="4"/>
        </w:numPr>
        <w:tabs>
          <w:tab w:val="clear" w:pos="1080"/>
          <w:tab w:val="num" w:pos="851"/>
          <w:tab w:val="num" w:pos="2509"/>
          <w:tab w:val="num" w:pos="3600"/>
        </w:tabs>
        <w:spacing w:after="0" w:line="336" w:lineRule="auto"/>
        <w:ind w:left="851" w:hanging="284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wymagana ilość miejsc parkingowych – nie dotyczy;</w:t>
      </w:r>
    </w:p>
    <w:p w14:paraId="4B13F6DF" w14:textId="77777777" w:rsidR="00575884" w:rsidRPr="00F806BD" w:rsidRDefault="00575884" w:rsidP="00575884">
      <w:pPr>
        <w:numPr>
          <w:ilvl w:val="2"/>
          <w:numId w:val="4"/>
        </w:numPr>
        <w:tabs>
          <w:tab w:val="clear" w:pos="1080"/>
          <w:tab w:val="num" w:pos="851"/>
          <w:tab w:val="num" w:pos="2509"/>
          <w:tab w:val="num" w:pos="3600"/>
        </w:tabs>
        <w:spacing w:after="0" w:line="336" w:lineRule="auto"/>
        <w:ind w:left="851" w:hanging="284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odprowadzanie wód opadowych i roztopowych - na własny nie utwardzony teren inwestycji;</w:t>
      </w:r>
    </w:p>
    <w:p w14:paraId="57F2B415" w14:textId="77777777" w:rsidR="00575884" w:rsidRPr="00F806BD" w:rsidRDefault="00575884" w:rsidP="00575884">
      <w:pPr>
        <w:numPr>
          <w:ilvl w:val="2"/>
          <w:numId w:val="4"/>
        </w:numPr>
        <w:tabs>
          <w:tab w:val="clear" w:pos="1080"/>
          <w:tab w:val="num" w:pos="851"/>
          <w:tab w:val="num" w:pos="2509"/>
          <w:tab w:val="num" w:pos="3600"/>
        </w:tabs>
        <w:spacing w:after="0" w:line="336" w:lineRule="auto"/>
        <w:ind w:left="851" w:hanging="284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dostęp do gazu - nie dotyczy.</w:t>
      </w:r>
    </w:p>
    <w:p w14:paraId="14F37920" w14:textId="77777777" w:rsidR="00575884" w:rsidRPr="00F806BD" w:rsidRDefault="00575884" w:rsidP="00575884">
      <w:pPr>
        <w:pStyle w:val="Akapitzlist"/>
        <w:numPr>
          <w:ilvl w:val="1"/>
          <w:numId w:val="1"/>
        </w:numPr>
        <w:tabs>
          <w:tab w:val="clear" w:pos="1170"/>
          <w:tab w:val="num" w:pos="567"/>
        </w:tabs>
        <w:spacing w:after="0" w:line="360" w:lineRule="auto"/>
        <w:ind w:left="567" w:hanging="567"/>
        <w:jc w:val="both"/>
        <w:rPr>
          <w:rFonts w:ascii="Montserrat" w:hAnsi="Montserrat"/>
        </w:rPr>
      </w:pPr>
      <w:r w:rsidRPr="00F806BD">
        <w:rPr>
          <w:rFonts w:ascii="Montserrat" w:hAnsi="Montserrat"/>
        </w:rPr>
        <w:t>Wykonanie uzbrojenia terenu, o którym mowa w punkcie b) należy zagwarantować w drodze umów, zawartych między właściwą jednostką organizacyjną a inwestorem.</w:t>
      </w:r>
    </w:p>
    <w:p w14:paraId="5B7A7EE4" w14:textId="77777777" w:rsidR="00575884" w:rsidRPr="00F806BD" w:rsidRDefault="00575884" w:rsidP="00575884">
      <w:pPr>
        <w:pStyle w:val="Akapitzlist"/>
        <w:numPr>
          <w:ilvl w:val="1"/>
          <w:numId w:val="1"/>
        </w:numPr>
        <w:tabs>
          <w:tab w:val="clear" w:pos="1170"/>
          <w:tab w:val="num" w:pos="567"/>
        </w:tabs>
        <w:spacing w:after="0" w:line="360" w:lineRule="auto"/>
        <w:ind w:left="567" w:hanging="567"/>
        <w:jc w:val="both"/>
        <w:rPr>
          <w:rFonts w:ascii="Montserrat" w:hAnsi="Montserrat"/>
          <w:color w:val="FF0000"/>
        </w:rPr>
      </w:pPr>
      <w:r w:rsidRPr="00F806BD">
        <w:rPr>
          <w:rFonts w:ascii="Montserrat" w:hAnsi="Montserrat" w:cs="Arial"/>
        </w:rPr>
        <w:t>Na etapie realizacji inwestycji należy przedstawić zgody na przejazd/przejście przez tereny niebędące własnością lub współwłasnością inwestora.</w:t>
      </w:r>
    </w:p>
    <w:p w14:paraId="0562C880" w14:textId="77777777" w:rsidR="00575884" w:rsidRPr="00F806BD" w:rsidRDefault="00575884" w:rsidP="00575884">
      <w:pPr>
        <w:numPr>
          <w:ilvl w:val="0"/>
          <w:numId w:val="1"/>
        </w:numPr>
        <w:tabs>
          <w:tab w:val="clear" w:pos="360"/>
          <w:tab w:val="num" w:pos="567"/>
        </w:tabs>
        <w:spacing w:after="0" w:line="336" w:lineRule="auto"/>
        <w:ind w:left="567" w:hanging="567"/>
        <w:jc w:val="both"/>
        <w:rPr>
          <w:rFonts w:ascii="Montserrat" w:eastAsia="Times New Roman" w:hAnsi="Montserrat" w:cs="Arial"/>
          <w:b/>
          <w:lang w:eastAsia="pl-PL"/>
        </w:rPr>
      </w:pPr>
      <w:r w:rsidRPr="00F806BD">
        <w:rPr>
          <w:rFonts w:ascii="Montserrat" w:eastAsia="Times New Roman" w:hAnsi="Montserrat" w:cs="Arial"/>
          <w:b/>
          <w:lang w:eastAsia="pl-PL"/>
        </w:rPr>
        <w:t>Ustalenia dotyczące ochrony interesów osób trzecich.</w:t>
      </w:r>
    </w:p>
    <w:p w14:paraId="39B2778B" w14:textId="77777777" w:rsidR="00575884" w:rsidRPr="00F806BD" w:rsidRDefault="00575884" w:rsidP="00575884">
      <w:pPr>
        <w:numPr>
          <w:ilvl w:val="1"/>
          <w:numId w:val="5"/>
        </w:numPr>
        <w:tabs>
          <w:tab w:val="clear" w:pos="360"/>
          <w:tab w:val="num" w:pos="567"/>
        </w:tabs>
        <w:spacing w:after="0" w:line="336" w:lineRule="auto"/>
        <w:ind w:left="567" w:hanging="567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W zakresie wymagań dotyczących ochrony interesu osób trzecich w sprawie mają zastosowanie przepisy odrębne, w tym przepisy budowlane.</w:t>
      </w:r>
    </w:p>
    <w:p w14:paraId="0EA0ED4F" w14:textId="77777777" w:rsidR="00575884" w:rsidRPr="00F806BD" w:rsidRDefault="00575884" w:rsidP="00575884">
      <w:pPr>
        <w:numPr>
          <w:ilvl w:val="1"/>
          <w:numId w:val="5"/>
        </w:numPr>
        <w:tabs>
          <w:tab w:val="clear" w:pos="360"/>
          <w:tab w:val="num" w:pos="567"/>
        </w:tabs>
        <w:spacing w:after="0" w:line="336" w:lineRule="auto"/>
        <w:ind w:left="567" w:hanging="567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hAnsi="Montserrat"/>
        </w:rPr>
        <w:t xml:space="preserve">Na terenie objętym inwestycją mogą występować niezinwentaryzowane dreny </w:t>
      </w:r>
      <w:r>
        <w:rPr>
          <w:rFonts w:ascii="Montserrat" w:hAnsi="Montserrat"/>
        </w:rPr>
        <w:br/>
      </w:r>
      <w:r w:rsidRPr="00F806BD">
        <w:rPr>
          <w:rFonts w:ascii="Montserrat" w:hAnsi="Montserrat"/>
        </w:rPr>
        <w:t>i sączki drenarskie, które w przypadku ewentualnego przerwania należy przywrócić do pierwotnego stanu ich funkcjonowania.</w:t>
      </w:r>
    </w:p>
    <w:p w14:paraId="4EBCB30F" w14:textId="77777777" w:rsidR="00575884" w:rsidRPr="00F806BD" w:rsidRDefault="00575884" w:rsidP="00575884">
      <w:pPr>
        <w:numPr>
          <w:ilvl w:val="0"/>
          <w:numId w:val="1"/>
        </w:numPr>
        <w:tabs>
          <w:tab w:val="clear" w:pos="360"/>
          <w:tab w:val="num" w:pos="567"/>
        </w:tabs>
        <w:spacing w:after="0" w:line="336" w:lineRule="auto"/>
        <w:ind w:left="567" w:hanging="567"/>
        <w:jc w:val="both"/>
        <w:rPr>
          <w:rFonts w:ascii="Montserrat" w:eastAsia="Times New Roman" w:hAnsi="Montserrat" w:cs="Arial"/>
          <w:b/>
          <w:lang w:eastAsia="pl-PL"/>
        </w:rPr>
      </w:pPr>
      <w:r w:rsidRPr="00F806BD">
        <w:rPr>
          <w:rFonts w:ascii="Montserrat" w:eastAsia="Times New Roman" w:hAnsi="Montserrat" w:cs="Arial"/>
          <w:b/>
          <w:lang w:eastAsia="pl-PL"/>
        </w:rPr>
        <w:t>Ustalenia dotyczące granic i sposobów zagospodarowania terenów lub obiektów podlegających ochronie na podstawie przepisów odrębnych.</w:t>
      </w:r>
    </w:p>
    <w:p w14:paraId="382E2B9A" w14:textId="77777777" w:rsidR="00575884" w:rsidRPr="00F806BD" w:rsidRDefault="00575884" w:rsidP="00575884">
      <w:pPr>
        <w:numPr>
          <w:ilvl w:val="1"/>
          <w:numId w:val="6"/>
        </w:numPr>
        <w:spacing w:after="0" w:line="336" w:lineRule="auto"/>
        <w:ind w:left="567" w:hanging="567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W zakresie ochrony obiektów budowlanych na terenach górniczych nie mają zastosowania w sprawie przepisy odrębne.</w:t>
      </w:r>
    </w:p>
    <w:p w14:paraId="5E4B9506" w14:textId="77777777" w:rsidR="00575884" w:rsidRPr="00F806BD" w:rsidRDefault="00575884" w:rsidP="00575884">
      <w:pPr>
        <w:numPr>
          <w:ilvl w:val="1"/>
          <w:numId w:val="6"/>
        </w:numPr>
        <w:spacing w:after="0" w:line="336" w:lineRule="auto"/>
        <w:ind w:left="567" w:hanging="567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 xml:space="preserve">W zakresie ochrony obiektów budowlanych na terenach narażonych </w:t>
      </w:r>
      <w:r w:rsidRPr="00F806BD">
        <w:rPr>
          <w:rFonts w:ascii="Montserrat" w:eastAsia="Times New Roman" w:hAnsi="Montserrat" w:cs="Arial"/>
          <w:lang w:eastAsia="pl-PL"/>
        </w:rPr>
        <w:br/>
        <w:t>na niebezpieczeństwo powodzi nie mają zastosowania w sprawie przepisy odrębne.</w:t>
      </w:r>
    </w:p>
    <w:p w14:paraId="14A0FE78" w14:textId="77777777" w:rsidR="00575884" w:rsidRPr="00F806BD" w:rsidRDefault="00575884" w:rsidP="00575884">
      <w:pPr>
        <w:numPr>
          <w:ilvl w:val="1"/>
          <w:numId w:val="6"/>
        </w:numPr>
        <w:tabs>
          <w:tab w:val="num" w:pos="567"/>
        </w:tabs>
        <w:spacing w:after="0" w:line="336" w:lineRule="auto"/>
        <w:ind w:left="567" w:hanging="567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W zakresie ochrony obiektów budowlanych na terenach zagrożonych osuwaniem się mas ziemnych nie mają zastosowania w sprawie przepisy odrębne.</w:t>
      </w:r>
    </w:p>
    <w:p w14:paraId="7F4EFBA9" w14:textId="77777777" w:rsidR="00575884" w:rsidRPr="00F806BD" w:rsidRDefault="00575884" w:rsidP="00575884">
      <w:pPr>
        <w:numPr>
          <w:ilvl w:val="0"/>
          <w:numId w:val="9"/>
        </w:numPr>
        <w:tabs>
          <w:tab w:val="clear" w:pos="720"/>
          <w:tab w:val="num" w:pos="540"/>
        </w:tabs>
        <w:spacing w:after="0" w:line="360" w:lineRule="auto"/>
        <w:ind w:left="567" w:hanging="567"/>
        <w:jc w:val="both"/>
        <w:rPr>
          <w:rFonts w:ascii="Montserrat" w:eastAsia="Times New Roman" w:hAnsi="Montserrat" w:cs="Arial"/>
          <w:b/>
          <w:lang w:eastAsia="pl-PL"/>
        </w:rPr>
      </w:pPr>
      <w:r w:rsidRPr="00F806BD">
        <w:rPr>
          <w:rFonts w:ascii="Montserrat" w:eastAsia="Times New Roman" w:hAnsi="Montserrat" w:cs="Arial"/>
          <w:b/>
          <w:lang w:eastAsia="pl-PL"/>
        </w:rPr>
        <w:lastRenderedPageBreak/>
        <w:t xml:space="preserve">Linie </w:t>
      </w:r>
      <w:r w:rsidRPr="00F806BD">
        <w:rPr>
          <w:rFonts w:ascii="Montserrat" w:eastAsia="Times New Roman" w:hAnsi="Montserrat" w:cs="Arial"/>
          <w:b/>
          <w:bCs/>
          <w:lang w:eastAsia="pl-PL"/>
        </w:rPr>
        <w:t xml:space="preserve">rozgraniczające teren inwestycji oraz wyniki analizy, o której mowa w art. 61 ust. 5a, 6 i 7 ustawy z dnia 27 marca 2003r. o planowaniu i zagospodarowaniu przestrzennym (Dz. U. z 2023r., poz. 977 z </w:t>
      </w:r>
      <w:proofErr w:type="spellStart"/>
      <w:r w:rsidRPr="00F806BD">
        <w:rPr>
          <w:rFonts w:ascii="Montserrat" w:eastAsia="Times New Roman" w:hAnsi="Montserrat" w:cs="Arial"/>
          <w:b/>
          <w:bCs/>
          <w:lang w:eastAsia="pl-PL"/>
        </w:rPr>
        <w:t>późn</w:t>
      </w:r>
      <w:proofErr w:type="spellEnd"/>
      <w:r w:rsidRPr="00F806BD">
        <w:rPr>
          <w:rFonts w:ascii="Montserrat" w:eastAsia="Times New Roman" w:hAnsi="Montserrat" w:cs="Arial"/>
          <w:b/>
          <w:bCs/>
          <w:lang w:eastAsia="pl-PL"/>
        </w:rPr>
        <w:t xml:space="preserve">. zm.) oraz Rozporządzenia Ministra Infrastruktury z dnia 26 sierpnia 2003r. w sprawie sposobu ustalania wymagań dotyczących nowej zabudowy i zagospodarowania terenu w przypadku braku miejscowego planu zagospodarowania przestrzennego (Dz. U. z 2003r. Nr 164, poz. 1588 z </w:t>
      </w:r>
      <w:proofErr w:type="spellStart"/>
      <w:r w:rsidRPr="00F806BD">
        <w:rPr>
          <w:rFonts w:ascii="Montserrat" w:eastAsia="Times New Roman" w:hAnsi="Montserrat" w:cs="Arial"/>
          <w:b/>
          <w:bCs/>
          <w:lang w:eastAsia="pl-PL"/>
        </w:rPr>
        <w:t>późn</w:t>
      </w:r>
      <w:proofErr w:type="spellEnd"/>
      <w:r w:rsidRPr="00F806BD">
        <w:rPr>
          <w:rFonts w:ascii="Montserrat" w:eastAsia="Times New Roman" w:hAnsi="Montserrat" w:cs="Arial"/>
          <w:b/>
          <w:bCs/>
          <w:lang w:eastAsia="pl-PL"/>
        </w:rPr>
        <w:t>. zm.)</w:t>
      </w:r>
      <w:r w:rsidRPr="00F806BD">
        <w:rPr>
          <w:rFonts w:ascii="Montserrat" w:eastAsia="Times New Roman" w:hAnsi="Montserrat" w:cs="Arial"/>
          <w:b/>
          <w:lang w:eastAsia="pl-PL"/>
        </w:rPr>
        <w:t>.</w:t>
      </w:r>
    </w:p>
    <w:p w14:paraId="141979D5" w14:textId="77777777" w:rsidR="00575884" w:rsidRPr="00F806BD" w:rsidRDefault="00575884" w:rsidP="00575884">
      <w:pPr>
        <w:pStyle w:val="Akapitzlist"/>
        <w:numPr>
          <w:ilvl w:val="0"/>
          <w:numId w:val="1"/>
        </w:numPr>
        <w:tabs>
          <w:tab w:val="num" w:pos="1170"/>
        </w:tabs>
        <w:spacing w:after="0" w:line="336" w:lineRule="auto"/>
        <w:jc w:val="both"/>
        <w:rPr>
          <w:rFonts w:ascii="Montserrat" w:eastAsia="Times New Roman" w:hAnsi="Montserrat" w:cs="Arial"/>
          <w:vanish/>
          <w:lang w:eastAsia="pl-PL"/>
        </w:rPr>
      </w:pPr>
    </w:p>
    <w:p w14:paraId="3063A889" w14:textId="77777777" w:rsidR="00575884" w:rsidRPr="00F806BD" w:rsidRDefault="00575884" w:rsidP="00575884">
      <w:pPr>
        <w:numPr>
          <w:ilvl w:val="1"/>
          <w:numId w:val="1"/>
        </w:numPr>
        <w:tabs>
          <w:tab w:val="clear" w:pos="1170"/>
          <w:tab w:val="num" w:pos="567"/>
        </w:tabs>
        <w:spacing w:after="0" w:line="336" w:lineRule="auto"/>
        <w:ind w:left="567" w:hanging="567"/>
        <w:contextualSpacing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Linie rozgraniczające teren inwestycji oraz nieprzekraczalną linię zabudowy określa załącznik Nr 1 do decyzji,</w:t>
      </w:r>
      <w:r w:rsidRPr="00F806BD">
        <w:rPr>
          <w:rFonts w:ascii="Montserrat" w:eastAsia="Times New Roman" w:hAnsi="Montserrat" w:cs="Arial"/>
          <w:b/>
          <w:lang w:eastAsia="pl-PL"/>
        </w:rPr>
        <w:t xml:space="preserve"> </w:t>
      </w:r>
      <w:r w:rsidRPr="00F806BD">
        <w:rPr>
          <w:rFonts w:ascii="Montserrat" w:eastAsia="Times New Roman" w:hAnsi="Montserrat" w:cs="Arial"/>
          <w:lang w:eastAsia="pl-PL"/>
        </w:rPr>
        <w:t>sporządzony na kopii mapy zasadniczej w skali 1:1000 (zmniejszoną do skali 1:2000).</w:t>
      </w:r>
    </w:p>
    <w:p w14:paraId="7A456689" w14:textId="77777777" w:rsidR="00575884" w:rsidRPr="00F806BD" w:rsidRDefault="00575884" w:rsidP="00575884">
      <w:pPr>
        <w:numPr>
          <w:ilvl w:val="1"/>
          <w:numId w:val="1"/>
        </w:numPr>
        <w:spacing w:after="0" w:line="336" w:lineRule="auto"/>
        <w:ind w:left="567" w:hanging="567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bCs/>
          <w:lang w:eastAsia="pl-PL"/>
        </w:rPr>
        <w:t>Przedmiot sprawy nie wymaga sporządzenia analizy w zakresie parametrów, cech i wskaźników kształtowania zabudowy oraz zagospodarowania terenu, w tym gabarytów i formy architektonicznej obiektów budowlanych, linii zabudowy oraz intensywności wykorzystania terenu, w związku z przepisami art. 61 ust. 3 ustawy o planowaniu i zagospodarowaniu przestrzennym.</w:t>
      </w:r>
    </w:p>
    <w:p w14:paraId="537B7CA5" w14:textId="77777777" w:rsidR="00575884" w:rsidRPr="00F806BD" w:rsidRDefault="00575884" w:rsidP="00575884">
      <w:pPr>
        <w:numPr>
          <w:ilvl w:val="0"/>
          <w:numId w:val="1"/>
        </w:numPr>
        <w:tabs>
          <w:tab w:val="clear" w:pos="360"/>
          <w:tab w:val="num" w:pos="567"/>
        </w:tabs>
        <w:spacing w:after="0" w:line="336" w:lineRule="auto"/>
        <w:ind w:left="567" w:hanging="567"/>
        <w:jc w:val="both"/>
        <w:rPr>
          <w:rFonts w:ascii="Montserrat" w:eastAsia="Times New Roman" w:hAnsi="Montserrat" w:cs="Arial"/>
          <w:b/>
          <w:lang w:eastAsia="pl-PL"/>
        </w:rPr>
      </w:pPr>
      <w:r w:rsidRPr="00F806BD">
        <w:rPr>
          <w:rFonts w:ascii="Montserrat" w:eastAsia="Times New Roman" w:hAnsi="Montserrat" w:cs="Arial"/>
          <w:b/>
          <w:lang w:eastAsia="pl-PL"/>
        </w:rPr>
        <w:t>Decyzja o warunkach zabudowy nie rodzi praw do terenu oraz nie narusza prawa własności i uprawnień osób trzecich.</w:t>
      </w:r>
    </w:p>
    <w:p w14:paraId="4369AEEB" w14:textId="77777777" w:rsidR="00575884" w:rsidRPr="00F806BD" w:rsidRDefault="00575884" w:rsidP="00575884">
      <w:pPr>
        <w:spacing w:after="0" w:line="336" w:lineRule="auto"/>
        <w:ind w:left="567"/>
        <w:jc w:val="both"/>
        <w:rPr>
          <w:rFonts w:ascii="Montserrat" w:eastAsia="Times New Roman" w:hAnsi="Montserrat" w:cs="Arial"/>
          <w:b/>
          <w:lang w:eastAsia="pl-PL"/>
        </w:rPr>
      </w:pPr>
    </w:p>
    <w:p w14:paraId="48683334" w14:textId="77777777" w:rsidR="00575884" w:rsidRPr="00F806BD" w:rsidRDefault="00575884" w:rsidP="00575884">
      <w:pPr>
        <w:keepNext/>
        <w:spacing w:after="0" w:line="360" w:lineRule="auto"/>
        <w:jc w:val="center"/>
        <w:outlineLvl w:val="0"/>
        <w:rPr>
          <w:rFonts w:ascii="Montserrat" w:eastAsia="Times New Roman" w:hAnsi="Montserrat" w:cs="Arial"/>
          <w:b/>
          <w:lang w:eastAsia="pl-PL"/>
        </w:rPr>
      </w:pPr>
      <w:r w:rsidRPr="00F806BD">
        <w:rPr>
          <w:rFonts w:ascii="Montserrat" w:eastAsia="Times New Roman" w:hAnsi="Montserrat" w:cs="Arial"/>
          <w:b/>
          <w:lang w:eastAsia="pl-PL"/>
        </w:rPr>
        <w:t>U Z A S A D N I E N I E</w:t>
      </w:r>
    </w:p>
    <w:p w14:paraId="608136D1" w14:textId="77777777" w:rsidR="00575884" w:rsidRPr="00F806BD" w:rsidRDefault="00575884" w:rsidP="00575884">
      <w:pPr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Montserrat" w:eastAsia="Times New Roman" w:hAnsi="Montserrat" w:cs="Arial"/>
          <w:bCs/>
          <w:lang w:eastAsia="pl-PL"/>
        </w:rPr>
      </w:pPr>
      <w:r w:rsidRPr="00F806BD">
        <w:rPr>
          <w:rFonts w:ascii="Montserrat" w:eastAsia="Times New Roman" w:hAnsi="Montserrat" w:cs="Arial"/>
          <w:bCs/>
          <w:lang w:eastAsia="pl-PL"/>
        </w:rPr>
        <w:t>Teren przedmiotowej inwestycji:</w:t>
      </w:r>
    </w:p>
    <w:p w14:paraId="5820E377" w14:textId="77777777" w:rsidR="00575884" w:rsidRPr="00F806BD" w:rsidRDefault="00575884" w:rsidP="00575884">
      <w:pPr>
        <w:numPr>
          <w:ilvl w:val="1"/>
          <w:numId w:val="7"/>
        </w:numPr>
        <w:spacing w:after="0" w:line="360" w:lineRule="auto"/>
        <w:ind w:left="567" w:hanging="283"/>
        <w:jc w:val="both"/>
        <w:rPr>
          <w:rFonts w:ascii="Montserrat" w:eastAsia="Times New Roman" w:hAnsi="Montserrat" w:cs="Arial"/>
          <w:bCs/>
          <w:lang w:eastAsia="pl-PL"/>
        </w:rPr>
      </w:pPr>
      <w:r w:rsidRPr="00F806BD">
        <w:rPr>
          <w:rFonts w:ascii="Montserrat" w:eastAsia="Times New Roman" w:hAnsi="Montserrat" w:cs="Arial"/>
          <w:bCs/>
          <w:lang w:eastAsia="pl-PL"/>
        </w:rPr>
        <w:t>nie posiada obowiązującego miejscowego planu zagospodarowania przestrzennego,</w:t>
      </w:r>
    </w:p>
    <w:p w14:paraId="00C32985" w14:textId="77777777" w:rsidR="00575884" w:rsidRPr="00F806BD" w:rsidRDefault="00575884" w:rsidP="00575884">
      <w:pPr>
        <w:numPr>
          <w:ilvl w:val="1"/>
          <w:numId w:val="7"/>
        </w:numPr>
        <w:tabs>
          <w:tab w:val="clear" w:pos="1788"/>
        </w:tabs>
        <w:spacing w:after="0" w:line="360" w:lineRule="auto"/>
        <w:ind w:left="567" w:hanging="283"/>
        <w:jc w:val="both"/>
        <w:rPr>
          <w:rFonts w:ascii="Montserrat" w:eastAsia="Times New Roman" w:hAnsi="Montserrat" w:cs="Arial"/>
          <w:bCs/>
          <w:lang w:eastAsia="pl-PL"/>
        </w:rPr>
      </w:pPr>
      <w:r w:rsidRPr="00F806BD">
        <w:rPr>
          <w:rFonts w:ascii="Montserrat" w:eastAsia="Times New Roman" w:hAnsi="Montserrat" w:cs="Arial"/>
          <w:bCs/>
          <w:lang w:eastAsia="pl-PL"/>
        </w:rPr>
        <w:t xml:space="preserve">wg złożonego wniosku </w:t>
      </w:r>
      <w:bookmarkStart w:id="3" w:name="_Hlk110526085"/>
      <w:r w:rsidRPr="00F806BD">
        <w:rPr>
          <w:rFonts w:ascii="Montserrat" w:eastAsia="Times New Roman" w:hAnsi="Montserrat" w:cs="Arial"/>
          <w:bCs/>
          <w:lang w:eastAsia="pl-PL"/>
        </w:rPr>
        <w:t xml:space="preserve">stanowi </w:t>
      </w:r>
      <w:bookmarkEnd w:id="3"/>
      <w:r w:rsidRPr="00F806BD">
        <w:rPr>
          <w:rFonts w:ascii="Montserrat" w:eastAsia="Times New Roman" w:hAnsi="Montserrat" w:cs="Arial"/>
          <w:bCs/>
          <w:lang w:eastAsia="pl-PL"/>
        </w:rPr>
        <w:t>część terenu o łącznej powierzchni 104 500 m</w:t>
      </w:r>
      <w:r w:rsidRPr="00F806BD">
        <w:rPr>
          <w:rFonts w:ascii="Montserrat" w:eastAsia="Times New Roman" w:hAnsi="Montserrat" w:cs="Arial"/>
          <w:bCs/>
          <w:vertAlign w:val="superscript"/>
          <w:lang w:eastAsia="pl-PL"/>
        </w:rPr>
        <w:t>2</w:t>
      </w:r>
      <w:r w:rsidRPr="00F806BD">
        <w:rPr>
          <w:rFonts w:ascii="Montserrat" w:eastAsia="Times New Roman" w:hAnsi="Montserrat" w:cs="Arial"/>
          <w:bCs/>
          <w:lang w:eastAsia="pl-PL"/>
        </w:rPr>
        <w:t xml:space="preserve"> oznaczony w rejestrze gruntów gminy Miłomłyn jako </w:t>
      </w:r>
      <w:r w:rsidRPr="00F806BD">
        <w:rPr>
          <w:rFonts w:ascii="Montserrat" w:hAnsi="Montserrat"/>
        </w:rPr>
        <w:t>działki nr: 77/1, 101, 102/3, 103/3, 104, obręb Malinnik</w:t>
      </w:r>
      <w:r w:rsidRPr="00F806BD">
        <w:rPr>
          <w:rFonts w:ascii="Montserrat" w:hAnsi="Montserrat" w:cs="Arial"/>
        </w:rPr>
        <w:t>,</w:t>
      </w:r>
      <w:r w:rsidRPr="00F806BD">
        <w:rPr>
          <w:rFonts w:ascii="Montserrat" w:eastAsia="Times New Roman" w:hAnsi="Montserrat" w:cs="Arial"/>
          <w:bCs/>
          <w:lang w:eastAsia="pl-PL"/>
        </w:rPr>
        <w:t xml:space="preserve"> jako grunty rolne.</w:t>
      </w:r>
    </w:p>
    <w:p w14:paraId="5A1C8C43" w14:textId="77777777" w:rsidR="00575884" w:rsidRPr="00F806BD" w:rsidRDefault="00575884" w:rsidP="00575884">
      <w:pPr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Montserrat" w:eastAsia="Times New Roman" w:hAnsi="Montserrat" w:cs="Arial"/>
          <w:bCs/>
          <w:lang w:eastAsia="pl-PL"/>
        </w:rPr>
      </w:pPr>
      <w:r w:rsidRPr="00F806BD">
        <w:rPr>
          <w:rFonts w:ascii="Montserrat" w:eastAsia="Times New Roman" w:hAnsi="Montserrat" w:cs="Arial"/>
          <w:bCs/>
          <w:lang w:eastAsia="pl-PL"/>
        </w:rPr>
        <w:t>W/w teren jest niezabudowany budynkami.</w:t>
      </w:r>
    </w:p>
    <w:p w14:paraId="143DC1FB" w14:textId="77777777" w:rsidR="00575884" w:rsidRPr="00F806BD" w:rsidRDefault="00575884" w:rsidP="00575884">
      <w:pPr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Montserrat" w:eastAsia="Times New Roman" w:hAnsi="Montserrat" w:cs="Arial"/>
          <w:bCs/>
          <w:lang w:eastAsia="pl-PL"/>
        </w:rPr>
      </w:pPr>
      <w:r w:rsidRPr="00F806BD">
        <w:rPr>
          <w:rFonts w:ascii="Montserrat" w:eastAsia="Times New Roman" w:hAnsi="Montserrat" w:cs="Arial"/>
          <w:bCs/>
          <w:lang w:eastAsia="pl-PL"/>
        </w:rPr>
        <w:t xml:space="preserve">Wnioskowana inwestycja stanowi zmianę zagospodarowania terenu </w:t>
      </w:r>
      <w:r>
        <w:rPr>
          <w:rFonts w:ascii="Montserrat" w:eastAsia="Times New Roman" w:hAnsi="Montserrat" w:cs="Arial"/>
          <w:bCs/>
          <w:lang w:eastAsia="pl-PL"/>
        </w:rPr>
        <w:br/>
      </w:r>
      <w:r w:rsidRPr="00F806BD">
        <w:rPr>
          <w:rFonts w:ascii="Montserrat" w:eastAsia="Times New Roman" w:hAnsi="Montserrat" w:cs="Arial"/>
          <w:bCs/>
          <w:lang w:eastAsia="pl-PL"/>
        </w:rPr>
        <w:t>w rozumieniu przepisów art. 59 ust. 1 ustawy o planowaniu i zagospodarowaniu przestrzennym.</w:t>
      </w:r>
    </w:p>
    <w:p w14:paraId="20477EBF" w14:textId="77777777" w:rsidR="00575884" w:rsidRPr="00F806BD" w:rsidRDefault="00575884" w:rsidP="00575884">
      <w:pPr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Montserrat" w:eastAsia="Times New Roman" w:hAnsi="Montserrat" w:cs="Arial"/>
          <w:bCs/>
          <w:lang w:eastAsia="pl-PL"/>
        </w:rPr>
      </w:pPr>
      <w:r w:rsidRPr="00F806BD">
        <w:rPr>
          <w:rFonts w:ascii="Montserrat" w:eastAsia="Times New Roman" w:hAnsi="Montserrat" w:cs="Arial"/>
          <w:bCs/>
          <w:lang w:eastAsia="pl-PL"/>
        </w:rPr>
        <w:t xml:space="preserve">Na podstawie wykonanej przez Burmistrza </w:t>
      </w:r>
      <w:r w:rsidRPr="00F806BD">
        <w:rPr>
          <w:rFonts w:ascii="Montserrat" w:hAnsi="Montserrat" w:cs="Arial"/>
          <w:bCs/>
        </w:rPr>
        <w:t>Miasta i Gminy Miłomłyna</w:t>
      </w:r>
      <w:r w:rsidRPr="00F806BD">
        <w:rPr>
          <w:rFonts w:ascii="Montserrat" w:hAnsi="Montserrat"/>
          <w:bCs/>
        </w:rPr>
        <w:t xml:space="preserve"> </w:t>
      </w:r>
      <w:r w:rsidRPr="00F806BD">
        <w:rPr>
          <w:rFonts w:ascii="Montserrat" w:eastAsia="Times New Roman" w:hAnsi="Montserrat" w:cs="Arial"/>
          <w:bCs/>
          <w:lang w:eastAsia="pl-PL"/>
        </w:rPr>
        <w:t xml:space="preserve"> analizy, </w:t>
      </w:r>
      <w:r>
        <w:rPr>
          <w:rFonts w:ascii="Montserrat" w:eastAsia="Times New Roman" w:hAnsi="Montserrat" w:cs="Arial"/>
          <w:bCs/>
          <w:lang w:eastAsia="pl-PL"/>
        </w:rPr>
        <w:br/>
      </w:r>
      <w:r w:rsidRPr="00F806BD">
        <w:rPr>
          <w:rFonts w:ascii="Montserrat" w:eastAsia="Times New Roman" w:hAnsi="Montserrat" w:cs="Arial"/>
          <w:bCs/>
          <w:lang w:eastAsia="pl-PL"/>
        </w:rPr>
        <w:t>o której mowa w pkt 9 decyzji, stwierdza się, że:</w:t>
      </w:r>
    </w:p>
    <w:p w14:paraId="71D62094" w14:textId="77777777" w:rsidR="00575884" w:rsidRPr="00F806BD" w:rsidRDefault="00575884" w:rsidP="00575884">
      <w:pPr>
        <w:numPr>
          <w:ilvl w:val="1"/>
          <w:numId w:val="7"/>
        </w:numPr>
        <w:spacing w:after="0" w:line="360" w:lineRule="auto"/>
        <w:ind w:left="567" w:hanging="283"/>
        <w:jc w:val="both"/>
        <w:rPr>
          <w:rFonts w:ascii="Montserrat" w:eastAsia="Times New Roman" w:hAnsi="Montserrat" w:cs="Arial"/>
          <w:bCs/>
          <w:lang w:eastAsia="pl-PL"/>
        </w:rPr>
      </w:pPr>
      <w:r w:rsidRPr="00F806BD">
        <w:rPr>
          <w:rFonts w:ascii="Montserrat" w:eastAsia="Times New Roman" w:hAnsi="Montserrat" w:cs="Arial"/>
          <w:bCs/>
          <w:lang w:eastAsia="pl-PL"/>
        </w:rPr>
        <w:t>w przedmiotowej sprawie mają zastosowanie przepisy art. 61 ust 3 ustawy o planowaniu i zagospodarowaniu przestrzennym, w związku z czym nie mają zastosowania przepisy art. 61 ust 1 pkt 1 i 2,</w:t>
      </w:r>
    </w:p>
    <w:p w14:paraId="3EACBAA3" w14:textId="77777777" w:rsidR="00575884" w:rsidRPr="00F806BD" w:rsidRDefault="00575884" w:rsidP="00575884">
      <w:pPr>
        <w:numPr>
          <w:ilvl w:val="1"/>
          <w:numId w:val="7"/>
        </w:numPr>
        <w:spacing w:after="0" w:line="360" w:lineRule="auto"/>
        <w:ind w:left="567" w:hanging="283"/>
        <w:jc w:val="both"/>
        <w:rPr>
          <w:rFonts w:ascii="Montserrat" w:eastAsia="Times New Roman" w:hAnsi="Montserrat" w:cs="Arial"/>
          <w:bCs/>
          <w:lang w:eastAsia="pl-PL"/>
        </w:rPr>
      </w:pPr>
      <w:r w:rsidRPr="00F806BD">
        <w:rPr>
          <w:rFonts w:ascii="Montserrat" w:eastAsia="Times New Roman" w:hAnsi="Montserrat" w:cs="Arial"/>
          <w:bCs/>
          <w:lang w:eastAsia="pl-PL"/>
        </w:rPr>
        <w:lastRenderedPageBreak/>
        <w:t>istniejące i projektowane uzbrojenie terenu jest wystarczające dla wnioskowanego zamierzenia budowlanego (z uwzględnieniem warunków art. 61 ust. 5 ustawy o planowaniu i zagospodarowaniu przestrzennym),</w:t>
      </w:r>
    </w:p>
    <w:p w14:paraId="0380D636" w14:textId="77777777" w:rsidR="00575884" w:rsidRPr="00F806BD" w:rsidRDefault="00575884" w:rsidP="00575884">
      <w:pPr>
        <w:numPr>
          <w:ilvl w:val="1"/>
          <w:numId w:val="7"/>
        </w:numPr>
        <w:spacing w:after="0" w:line="360" w:lineRule="auto"/>
        <w:ind w:left="567" w:hanging="283"/>
        <w:jc w:val="both"/>
        <w:rPr>
          <w:rFonts w:ascii="Montserrat" w:eastAsia="Times New Roman" w:hAnsi="Montserrat" w:cs="Arial"/>
          <w:bCs/>
          <w:lang w:eastAsia="pl-PL"/>
        </w:rPr>
      </w:pPr>
      <w:r w:rsidRPr="00F806BD">
        <w:rPr>
          <w:rFonts w:ascii="Montserrat" w:eastAsia="Times New Roman" w:hAnsi="Montserrat" w:cs="Arial"/>
          <w:bCs/>
          <w:lang w:eastAsia="pl-PL"/>
        </w:rPr>
        <w:t>teren wnioskowanej inwestycji nie wymaga uzyskania zgody na zmianę przeznaczenia gruntów rolnych i leśnych na cele nierolnicze i nieleśne w rozumieniu przepisów o ochronie gruntów rolnych i leśnych,</w:t>
      </w:r>
    </w:p>
    <w:p w14:paraId="00A684AD" w14:textId="77777777" w:rsidR="00575884" w:rsidRPr="00F806BD" w:rsidRDefault="00575884" w:rsidP="00575884">
      <w:pPr>
        <w:numPr>
          <w:ilvl w:val="1"/>
          <w:numId w:val="7"/>
        </w:numPr>
        <w:spacing w:after="0" w:line="360" w:lineRule="auto"/>
        <w:ind w:left="567" w:hanging="283"/>
        <w:jc w:val="both"/>
        <w:rPr>
          <w:rFonts w:ascii="Montserrat" w:eastAsia="Times New Roman" w:hAnsi="Montserrat" w:cs="Arial"/>
          <w:bCs/>
          <w:lang w:eastAsia="pl-PL"/>
        </w:rPr>
      </w:pPr>
      <w:r w:rsidRPr="00F806BD">
        <w:rPr>
          <w:rFonts w:ascii="Montserrat" w:eastAsia="Times New Roman" w:hAnsi="Montserrat" w:cs="Arial"/>
          <w:bCs/>
          <w:lang w:eastAsia="pl-PL"/>
        </w:rPr>
        <w:t>wnioskowana inwestycja jest zgodna z właściwymi przepisami odrębnymi,</w:t>
      </w:r>
    </w:p>
    <w:p w14:paraId="0F3C9706" w14:textId="77777777" w:rsidR="00575884" w:rsidRPr="00F806BD" w:rsidRDefault="00575884" w:rsidP="00575884">
      <w:pPr>
        <w:numPr>
          <w:ilvl w:val="1"/>
          <w:numId w:val="7"/>
        </w:numPr>
        <w:spacing w:after="0" w:line="360" w:lineRule="auto"/>
        <w:ind w:left="567" w:hanging="283"/>
        <w:jc w:val="both"/>
        <w:rPr>
          <w:rFonts w:ascii="Montserrat" w:eastAsia="Times New Roman" w:hAnsi="Montserrat" w:cs="Arial"/>
          <w:bCs/>
          <w:lang w:eastAsia="pl-PL"/>
        </w:rPr>
      </w:pPr>
      <w:r w:rsidRPr="00F806BD">
        <w:rPr>
          <w:rFonts w:ascii="Montserrat" w:eastAsia="Times New Roman" w:hAnsi="Montserrat" w:cs="Arial"/>
          <w:bCs/>
          <w:lang w:eastAsia="pl-PL"/>
        </w:rPr>
        <w:t>wnioskowana inwestycja nie jest zlokalizowana:</w:t>
      </w:r>
    </w:p>
    <w:p w14:paraId="227A812C" w14:textId="77777777" w:rsidR="00575884" w:rsidRPr="00F806BD" w:rsidRDefault="00575884" w:rsidP="00575884">
      <w:pPr>
        <w:numPr>
          <w:ilvl w:val="0"/>
          <w:numId w:val="2"/>
        </w:numPr>
        <w:spacing w:after="0" w:line="360" w:lineRule="auto"/>
        <w:ind w:left="709" w:hanging="283"/>
        <w:contextualSpacing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 xml:space="preserve">w obszarze, w stosunku do którego decyzją o ustaleniu lokalizacji strategicznej inwestycji w zakresie sieci przesyłowej, ustanowiono zakaz wznoszenia i utrzymywania obiektów budowlanych przeznaczonych na pobyt ludzi na mocy przepisów ustawy z dnia 24 lipca 2015r. o przygotowaniu i realizacji strategicznych inwestycji w zakresie sieci przesyłowych (Dz. U. z 2023r., poz. 1680 z </w:t>
      </w:r>
      <w:proofErr w:type="spellStart"/>
      <w:r w:rsidRPr="00F806BD">
        <w:rPr>
          <w:rFonts w:ascii="Montserrat" w:eastAsia="Times New Roman" w:hAnsi="Montserrat" w:cs="Arial"/>
          <w:lang w:eastAsia="pl-PL"/>
        </w:rPr>
        <w:t>późn</w:t>
      </w:r>
      <w:proofErr w:type="spellEnd"/>
      <w:r w:rsidRPr="00F806BD">
        <w:rPr>
          <w:rFonts w:ascii="Montserrat" w:eastAsia="Times New Roman" w:hAnsi="Montserrat" w:cs="Arial"/>
          <w:lang w:eastAsia="pl-PL"/>
        </w:rPr>
        <w:t>. zm.),</w:t>
      </w:r>
    </w:p>
    <w:p w14:paraId="50BA389B" w14:textId="77777777" w:rsidR="00575884" w:rsidRPr="00F806BD" w:rsidRDefault="00575884" w:rsidP="00575884">
      <w:pPr>
        <w:numPr>
          <w:ilvl w:val="0"/>
          <w:numId w:val="2"/>
        </w:numPr>
        <w:spacing w:after="0" w:line="360" w:lineRule="auto"/>
        <w:ind w:left="709" w:hanging="283"/>
        <w:contextualSpacing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na terenie strefy kontrolowanej wyznaczonej po obu stronach gazociągu wysokiego ciśnienia,</w:t>
      </w:r>
    </w:p>
    <w:p w14:paraId="131A7CAC" w14:textId="77777777" w:rsidR="00575884" w:rsidRPr="00F806BD" w:rsidRDefault="00575884" w:rsidP="00575884">
      <w:pPr>
        <w:numPr>
          <w:ilvl w:val="0"/>
          <w:numId w:val="2"/>
        </w:numPr>
        <w:spacing w:after="0" w:line="360" w:lineRule="auto"/>
        <w:ind w:left="709" w:hanging="283"/>
        <w:contextualSpacing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na terenie strefy bezpieczeństwa wyznaczonej po obu stronach rurociągu.</w:t>
      </w:r>
    </w:p>
    <w:p w14:paraId="7A2D92EB" w14:textId="77777777" w:rsidR="00575884" w:rsidRPr="00F806BD" w:rsidRDefault="00575884" w:rsidP="00575884">
      <w:pPr>
        <w:spacing w:after="0" w:line="360" w:lineRule="auto"/>
        <w:ind w:firstLine="567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W związku z czym spełnione są wymogi wynikające z art. 61 ust. 1 pkt. 6 ustawy o planowaniu i zagospodarowaniu przestrzennym.</w:t>
      </w:r>
    </w:p>
    <w:p w14:paraId="416A49AA" w14:textId="77777777" w:rsidR="00575884" w:rsidRPr="00F806BD" w:rsidRDefault="00575884" w:rsidP="00575884">
      <w:pPr>
        <w:spacing w:after="0" w:line="360" w:lineRule="auto"/>
        <w:ind w:firstLine="567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bCs/>
          <w:lang w:eastAsia="pl-PL"/>
        </w:rPr>
        <w:t xml:space="preserve">Wobec powyższego wnioskowana inwestycja spełnia wymogi przepisów art. 61 ustawy o planowaniu i zagospodarowaniu przestrzennym, dając podstawę </w:t>
      </w:r>
      <w:r>
        <w:rPr>
          <w:rFonts w:ascii="Montserrat" w:eastAsia="Times New Roman" w:hAnsi="Montserrat" w:cs="Arial"/>
          <w:bCs/>
          <w:lang w:eastAsia="pl-PL"/>
        </w:rPr>
        <w:br/>
      </w:r>
      <w:r w:rsidRPr="00F806BD">
        <w:rPr>
          <w:rFonts w:ascii="Montserrat" w:eastAsia="Times New Roman" w:hAnsi="Montserrat" w:cs="Arial"/>
          <w:bCs/>
          <w:lang w:eastAsia="pl-PL"/>
        </w:rPr>
        <w:t>do zastosowania w sprawie przepisów art. 59 ust. 1 i art. 60 ust. 1 w/w ustawy.</w:t>
      </w:r>
    </w:p>
    <w:p w14:paraId="2598E82F" w14:textId="77777777" w:rsidR="00575884" w:rsidRPr="00F806BD" w:rsidRDefault="00575884" w:rsidP="00575884">
      <w:pPr>
        <w:spacing w:after="0" w:line="360" w:lineRule="auto"/>
        <w:ind w:firstLine="567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W tym stanie rzeczy postanowiono jak w treści decyzji.</w:t>
      </w:r>
    </w:p>
    <w:p w14:paraId="76101C5A" w14:textId="77777777" w:rsidR="00575884" w:rsidRPr="00F806BD" w:rsidRDefault="00575884" w:rsidP="00575884">
      <w:pPr>
        <w:spacing w:after="0" w:line="336" w:lineRule="auto"/>
        <w:ind w:firstLine="567"/>
        <w:jc w:val="both"/>
        <w:rPr>
          <w:rFonts w:ascii="Montserrat" w:eastAsia="Times New Roman" w:hAnsi="Montserrat" w:cs="Arial"/>
          <w:lang w:eastAsia="pl-PL"/>
        </w:rPr>
      </w:pPr>
    </w:p>
    <w:p w14:paraId="631C9B42" w14:textId="77777777" w:rsidR="00575884" w:rsidRPr="00F806BD" w:rsidRDefault="00575884" w:rsidP="00575884">
      <w:pPr>
        <w:spacing w:after="0" w:line="360" w:lineRule="auto"/>
        <w:jc w:val="center"/>
        <w:rPr>
          <w:rFonts w:ascii="Montserrat" w:eastAsia="Times New Roman" w:hAnsi="Montserrat" w:cs="Arial"/>
          <w:b/>
        </w:rPr>
      </w:pPr>
      <w:r w:rsidRPr="00F806BD">
        <w:rPr>
          <w:rFonts w:ascii="Montserrat" w:eastAsia="Times New Roman" w:hAnsi="Montserrat" w:cs="Arial"/>
          <w:b/>
        </w:rPr>
        <w:t>Pouczenie</w:t>
      </w:r>
    </w:p>
    <w:p w14:paraId="5B7D28D6" w14:textId="77777777" w:rsidR="00575884" w:rsidRPr="00F806BD" w:rsidRDefault="00575884" w:rsidP="00575884">
      <w:pPr>
        <w:spacing w:after="0" w:line="360" w:lineRule="auto"/>
        <w:ind w:firstLine="708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Od niniejszej decyzji służy stronie odwołanie do Samorządowego Kolegium Odwoławczego w Elblągu za moim pośrednictwem w terminie 14 dni od daty jej otrzymania.</w:t>
      </w:r>
    </w:p>
    <w:p w14:paraId="6B948F3A" w14:textId="77777777" w:rsidR="00575884" w:rsidRPr="00F806BD" w:rsidRDefault="00575884" w:rsidP="00575884">
      <w:pPr>
        <w:spacing w:after="0" w:line="360" w:lineRule="auto"/>
        <w:ind w:firstLine="708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 xml:space="preserve">Przed upływem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postepowania, decyzja staje się ostateczna i prawomocna, co oznacza, iż decyzja podlega natychmiastowemu wykonaniu i brak jest możliwości zaskarżenia decyzji do Wojewódzkiego Sądu </w:t>
      </w:r>
      <w:r w:rsidRPr="00F806BD">
        <w:rPr>
          <w:rFonts w:ascii="Montserrat" w:eastAsia="Times New Roman" w:hAnsi="Montserrat" w:cs="Arial"/>
          <w:lang w:eastAsia="pl-PL"/>
        </w:rPr>
        <w:lastRenderedPageBreak/>
        <w:t>Administracyjnego. Nie jest możliwe skuteczne cofnięcie oświadczenia o zrzeczeniu się prawa do wniesienia odwołania.</w:t>
      </w:r>
    </w:p>
    <w:p w14:paraId="3D479D14" w14:textId="77777777" w:rsidR="00575884" w:rsidRPr="00F806BD" w:rsidRDefault="00575884" w:rsidP="00575884">
      <w:pPr>
        <w:spacing w:after="0" w:line="360" w:lineRule="auto"/>
        <w:ind w:firstLine="708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 xml:space="preserve">Jeżeli niniejsza decyzja została wydana z naruszeniem przepisów postępowania, a konieczny do wyjaśnienia zakres sprawy ma istotny wpływ na jej rozstrzygnięcie, </w:t>
      </w:r>
      <w:r>
        <w:rPr>
          <w:rFonts w:ascii="Montserrat" w:eastAsia="Times New Roman" w:hAnsi="Montserrat" w:cs="Arial"/>
          <w:lang w:eastAsia="pl-PL"/>
        </w:rPr>
        <w:br/>
      </w:r>
      <w:r w:rsidRPr="00F806BD">
        <w:rPr>
          <w:rFonts w:ascii="Montserrat" w:eastAsia="Times New Roman" w:hAnsi="Montserrat" w:cs="Arial"/>
          <w:lang w:eastAsia="pl-PL"/>
        </w:rPr>
        <w:t xml:space="preserve">na zgodny wniosek wszystkich stron zawarty w odwołaniu, organ odwoławczy przeprowadza postepowanie wyjaśniające w zakresie niezbędnym do rozstrzygnięcia sprawy. Organ odwoławczy przeprowadza postepowanie wyjaśniające także wówczas, gdy jedna ze stron zawarła w odwołaniu wniosek o przeprowadzenie przez organ odwoławczy postepowania wyjaśniającego w zakresie niezbędnym do rozstrzygnięcia sprawy, a pozostałe strony wyraziły na to zgodę w terminie czternastu dni od dnia doręczenia im zawiadomienia o wniesieniu odwołania zawierającego wniosek </w:t>
      </w:r>
      <w:r>
        <w:rPr>
          <w:rFonts w:ascii="Montserrat" w:eastAsia="Times New Roman" w:hAnsi="Montserrat" w:cs="Arial"/>
          <w:lang w:eastAsia="pl-PL"/>
        </w:rPr>
        <w:br/>
      </w:r>
      <w:r w:rsidRPr="00F806BD">
        <w:rPr>
          <w:rFonts w:ascii="Montserrat" w:eastAsia="Times New Roman" w:hAnsi="Montserrat" w:cs="Arial"/>
          <w:lang w:eastAsia="pl-PL"/>
        </w:rPr>
        <w:t xml:space="preserve">o przeprowadzeniu przez organ odwoławczy postępowania wyjaśniającego w zakresie niezbędnym do rozstrzygnięcia sprawy. </w:t>
      </w:r>
    </w:p>
    <w:p w14:paraId="7F61EF97" w14:textId="77777777" w:rsidR="00575884" w:rsidRPr="00F806BD" w:rsidRDefault="00575884" w:rsidP="00575884">
      <w:pPr>
        <w:spacing w:after="0" w:line="360" w:lineRule="auto"/>
        <w:ind w:firstLine="708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lang w:eastAsia="pl-PL"/>
        </w:rPr>
        <w:t>Podmiotowi, który wystąpił z wnioskiem o wydanie decyzji o warunkach zabudowy przysługuje prawo do wniesienia żądania, o którym mowa w art. 64 ustawy o planowaniu i zagospodarowaniu przestrzennym.</w:t>
      </w:r>
    </w:p>
    <w:p w14:paraId="6B316033" w14:textId="77777777" w:rsidR="00575884" w:rsidRPr="00F806BD" w:rsidRDefault="00575884" w:rsidP="00575884">
      <w:pPr>
        <w:spacing w:after="0" w:line="276" w:lineRule="auto"/>
        <w:jc w:val="both"/>
        <w:rPr>
          <w:rFonts w:ascii="Montserrat" w:eastAsia="Times New Roman" w:hAnsi="Montserrat" w:cs="Arial"/>
          <w:u w:val="single"/>
          <w:lang w:eastAsia="pl-PL"/>
        </w:rPr>
      </w:pPr>
    </w:p>
    <w:p w14:paraId="6044778A" w14:textId="77777777" w:rsidR="00575884" w:rsidRPr="00F806BD" w:rsidRDefault="00575884" w:rsidP="00575884">
      <w:pPr>
        <w:spacing w:after="0" w:line="276" w:lineRule="auto"/>
        <w:jc w:val="both"/>
        <w:rPr>
          <w:rFonts w:ascii="Montserrat" w:eastAsia="Times New Roman" w:hAnsi="Montserrat" w:cs="Arial"/>
          <w:sz w:val="16"/>
          <w:szCs w:val="16"/>
          <w:u w:val="single"/>
          <w:lang w:eastAsia="pl-PL"/>
        </w:rPr>
      </w:pPr>
      <w:r w:rsidRPr="00F806BD">
        <w:rPr>
          <w:rFonts w:ascii="Montserrat" w:eastAsia="Times New Roman" w:hAnsi="Montserrat" w:cs="Arial"/>
          <w:sz w:val="16"/>
          <w:szCs w:val="16"/>
          <w:u w:val="single"/>
          <w:lang w:eastAsia="pl-PL"/>
        </w:rPr>
        <w:t>Przygotował:</w:t>
      </w:r>
    </w:p>
    <w:p w14:paraId="3DAAE271" w14:textId="77777777" w:rsidR="00575884" w:rsidRPr="00F806BD" w:rsidRDefault="00575884" w:rsidP="00575884">
      <w:pPr>
        <w:spacing w:after="0" w:line="276" w:lineRule="auto"/>
        <w:jc w:val="both"/>
        <w:rPr>
          <w:rFonts w:ascii="Montserrat" w:eastAsia="Times New Roman" w:hAnsi="Montserrat" w:cs="Arial"/>
          <w:sz w:val="16"/>
          <w:szCs w:val="16"/>
          <w:lang w:eastAsia="pl-PL"/>
        </w:rPr>
      </w:pPr>
      <w:r w:rsidRPr="00F806BD">
        <w:rPr>
          <w:rFonts w:ascii="Montserrat" w:eastAsia="Times New Roman" w:hAnsi="Montserrat" w:cs="Arial"/>
          <w:sz w:val="16"/>
          <w:szCs w:val="16"/>
          <w:lang w:eastAsia="pl-PL"/>
        </w:rPr>
        <w:t xml:space="preserve">arch. Szymon </w:t>
      </w:r>
      <w:proofErr w:type="spellStart"/>
      <w:r w:rsidRPr="00F806BD">
        <w:rPr>
          <w:rFonts w:ascii="Montserrat" w:eastAsia="Times New Roman" w:hAnsi="Montserrat" w:cs="Arial"/>
          <w:sz w:val="16"/>
          <w:szCs w:val="16"/>
          <w:lang w:eastAsia="pl-PL"/>
        </w:rPr>
        <w:t>Zabokrzecki</w:t>
      </w:r>
      <w:proofErr w:type="spellEnd"/>
    </w:p>
    <w:p w14:paraId="5FBDE5CF" w14:textId="77777777" w:rsidR="00575884" w:rsidRPr="00F806BD" w:rsidRDefault="00575884" w:rsidP="00575884">
      <w:pPr>
        <w:spacing w:after="0" w:line="276" w:lineRule="auto"/>
        <w:jc w:val="both"/>
        <w:rPr>
          <w:rFonts w:ascii="Montserrat" w:eastAsia="Times New Roman" w:hAnsi="Montserrat" w:cs="Arial"/>
          <w:sz w:val="16"/>
          <w:szCs w:val="16"/>
          <w:lang w:eastAsia="pl-PL"/>
        </w:rPr>
      </w:pPr>
      <w:r w:rsidRPr="00F806BD">
        <w:rPr>
          <w:rFonts w:ascii="Montserrat" w:eastAsia="Times New Roman" w:hAnsi="Montserrat" w:cs="Arial"/>
          <w:sz w:val="16"/>
          <w:szCs w:val="16"/>
          <w:lang w:eastAsia="pl-PL"/>
        </w:rPr>
        <w:t xml:space="preserve">wpis na listę członków POIU w Gdańsku </w:t>
      </w:r>
    </w:p>
    <w:p w14:paraId="13263176" w14:textId="77777777" w:rsidR="00575884" w:rsidRPr="00F806BD" w:rsidRDefault="00575884" w:rsidP="00575884">
      <w:pPr>
        <w:spacing w:after="0" w:line="276" w:lineRule="auto"/>
        <w:jc w:val="both"/>
        <w:rPr>
          <w:rFonts w:ascii="Montserrat" w:eastAsia="Times New Roman" w:hAnsi="Montserrat" w:cs="Arial"/>
          <w:sz w:val="16"/>
          <w:szCs w:val="16"/>
          <w:lang w:eastAsia="pl-PL"/>
        </w:rPr>
      </w:pPr>
      <w:r w:rsidRPr="00F806BD">
        <w:rPr>
          <w:rFonts w:ascii="Montserrat" w:eastAsia="Times New Roman" w:hAnsi="Montserrat" w:cs="Arial"/>
          <w:sz w:val="16"/>
          <w:szCs w:val="16"/>
          <w:lang w:eastAsia="pl-PL"/>
        </w:rPr>
        <w:t>pod nr  G - 092/2002.</w:t>
      </w:r>
    </w:p>
    <w:p w14:paraId="3B4427A0" w14:textId="77777777" w:rsidR="00575884" w:rsidRPr="00F806BD" w:rsidRDefault="00575884" w:rsidP="00575884">
      <w:pPr>
        <w:spacing w:after="0" w:line="276" w:lineRule="auto"/>
        <w:jc w:val="both"/>
        <w:rPr>
          <w:rFonts w:ascii="Montserrat" w:eastAsia="Times New Roman" w:hAnsi="Montserrat" w:cs="Arial"/>
          <w:sz w:val="16"/>
          <w:szCs w:val="16"/>
          <w:lang w:eastAsia="pl-PL"/>
        </w:rPr>
      </w:pPr>
      <w:r w:rsidRPr="00F806BD">
        <w:rPr>
          <w:rFonts w:ascii="Montserrat" w:eastAsia="Times New Roman" w:hAnsi="Montserrat" w:cs="Arial"/>
          <w:sz w:val="16"/>
          <w:szCs w:val="16"/>
          <w:lang w:eastAsia="pl-PL"/>
        </w:rPr>
        <w:t xml:space="preserve">Biuro </w:t>
      </w:r>
      <w:proofErr w:type="spellStart"/>
      <w:r w:rsidRPr="00F806BD">
        <w:rPr>
          <w:rFonts w:ascii="Montserrat" w:eastAsia="Times New Roman" w:hAnsi="Montserrat" w:cs="Arial"/>
          <w:sz w:val="16"/>
          <w:szCs w:val="16"/>
          <w:lang w:eastAsia="pl-PL"/>
        </w:rPr>
        <w:t>Architektoniczno</w:t>
      </w:r>
      <w:proofErr w:type="spellEnd"/>
      <w:r w:rsidRPr="00F806BD">
        <w:rPr>
          <w:rFonts w:ascii="Montserrat" w:eastAsia="Times New Roman" w:hAnsi="Montserrat" w:cs="Arial"/>
          <w:sz w:val="16"/>
          <w:szCs w:val="16"/>
          <w:lang w:eastAsia="pl-PL"/>
        </w:rPr>
        <w:t xml:space="preserve"> - Urbanistyczne „BDK” s. c. </w:t>
      </w:r>
    </w:p>
    <w:p w14:paraId="40B101F6" w14:textId="77777777" w:rsidR="00575884" w:rsidRPr="00F806BD" w:rsidRDefault="00575884" w:rsidP="00575884">
      <w:pPr>
        <w:spacing w:after="0" w:line="240" w:lineRule="auto"/>
        <w:jc w:val="both"/>
        <w:rPr>
          <w:rFonts w:ascii="Montserrat" w:eastAsia="Times New Roman" w:hAnsi="Montserrat" w:cs="Arial"/>
          <w:lang w:eastAsia="pl-PL"/>
        </w:rPr>
      </w:pPr>
      <w:r w:rsidRPr="00F806BD">
        <w:rPr>
          <w:rFonts w:ascii="Montserrat" w:eastAsia="Times New Roman" w:hAnsi="Montserrat" w:cs="Arial"/>
          <w:sz w:val="16"/>
          <w:szCs w:val="16"/>
          <w:lang w:eastAsia="pl-PL"/>
        </w:rPr>
        <w:t>10 - 686 Olsztyn, ul. Wilczyńskiego 6G/3</w:t>
      </w:r>
    </w:p>
    <w:p w14:paraId="61A5163A" w14:textId="77777777" w:rsidR="00575884" w:rsidRPr="00F806BD" w:rsidRDefault="00575884" w:rsidP="00575884">
      <w:pPr>
        <w:spacing w:after="0" w:line="240" w:lineRule="auto"/>
        <w:jc w:val="both"/>
        <w:rPr>
          <w:rFonts w:ascii="Montserrat" w:eastAsia="Times New Roman" w:hAnsi="Montserrat" w:cs="Arial"/>
          <w:b/>
          <w:u w:val="single"/>
          <w:lang w:eastAsia="pl-PL"/>
        </w:rPr>
      </w:pPr>
    </w:p>
    <w:p w14:paraId="1552A370" w14:textId="77777777" w:rsidR="00575884" w:rsidRPr="00F806BD" w:rsidRDefault="00575884" w:rsidP="00575884">
      <w:pPr>
        <w:pStyle w:val="Tekstpodstawowy"/>
        <w:spacing w:after="0" w:line="240" w:lineRule="auto"/>
        <w:ind w:left="720"/>
        <w:jc w:val="both"/>
        <w:rPr>
          <w:rFonts w:ascii="Montserrat" w:hAnsi="Montserrat" w:cs="Arial"/>
        </w:rPr>
      </w:pPr>
    </w:p>
    <w:p w14:paraId="1E54B68A" w14:textId="77777777" w:rsidR="00575884" w:rsidRPr="00F806BD" w:rsidRDefault="00575884" w:rsidP="00575884">
      <w:pPr>
        <w:spacing w:after="0" w:line="240" w:lineRule="auto"/>
        <w:jc w:val="both"/>
        <w:rPr>
          <w:rFonts w:ascii="Montserrat" w:eastAsia="Times New Roman" w:hAnsi="Montserrat" w:cs="Arial"/>
          <w:b/>
          <w:u w:val="single"/>
          <w:lang w:eastAsia="pl-PL"/>
        </w:rPr>
      </w:pPr>
      <w:r w:rsidRPr="00F806BD">
        <w:rPr>
          <w:rFonts w:ascii="Montserrat" w:eastAsia="Times New Roman" w:hAnsi="Montserrat" w:cs="Arial"/>
          <w:b/>
          <w:u w:val="single"/>
          <w:lang w:eastAsia="pl-PL"/>
        </w:rPr>
        <w:t>Otrzymują:</w:t>
      </w:r>
    </w:p>
    <w:p w14:paraId="32EB7E1C" w14:textId="77777777" w:rsidR="00575884" w:rsidRDefault="00575884" w:rsidP="00575884">
      <w:pPr>
        <w:pStyle w:val="Akapitzlist"/>
        <w:numPr>
          <w:ilvl w:val="0"/>
          <w:numId w:val="12"/>
        </w:numPr>
        <w:spacing w:line="360" w:lineRule="auto"/>
        <w:rPr>
          <w:rFonts w:ascii="Montserrat" w:hAnsi="Montserrat"/>
        </w:rPr>
      </w:pPr>
      <w:r>
        <w:rPr>
          <w:rFonts w:ascii="Montserrat" w:hAnsi="Montserrat"/>
        </w:rPr>
        <w:t>PCWO</w:t>
      </w:r>
      <w:r w:rsidRPr="00E46456">
        <w:rPr>
          <w:rFonts w:ascii="Montserrat" w:hAnsi="Montserrat"/>
        </w:rPr>
        <w:t xml:space="preserve"> </w:t>
      </w:r>
      <w:r>
        <w:rPr>
          <w:rFonts w:ascii="Montserrat" w:hAnsi="Montserrat"/>
        </w:rPr>
        <w:t>ENERGY PROJEKT Sp. z o. o.</w:t>
      </w:r>
    </w:p>
    <w:p w14:paraId="0F51D7EF" w14:textId="07FDD0B6" w:rsidR="00575884" w:rsidRDefault="00575884" w:rsidP="00575884">
      <w:pPr>
        <w:pStyle w:val="Akapitzlist"/>
        <w:numPr>
          <w:ilvl w:val="0"/>
          <w:numId w:val="12"/>
        </w:numPr>
        <w:spacing w:line="360" w:lineRule="auto"/>
        <w:rPr>
          <w:rFonts w:ascii="Montserrat" w:hAnsi="Montserrat"/>
        </w:rPr>
      </w:pPr>
      <w:r>
        <w:rPr>
          <w:rFonts w:ascii="Montserrat" w:hAnsi="Montserrat"/>
        </w:rPr>
        <w:t>xxx</w:t>
      </w:r>
    </w:p>
    <w:p w14:paraId="51D5A48B" w14:textId="796C3308" w:rsidR="00575884" w:rsidRDefault="00575884" w:rsidP="00575884">
      <w:pPr>
        <w:pStyle w:val="Akapitzlist"/>
        <w:numPr>
          <w:ilvl w:val="0"/>
          <w:numId w:val="12"/>
        </w:numPr>
        <w:spacing w:line="360" w:lineRule="auto"/>
        <w:rPr>
          <w:rFonts w:ascii="Montserrat" w:hAnsi="Montserrat"/>
        </w:rPr>
      </w:pPr>
      <w:r>
        <w:rPr>
          <w:rFonts w:ascii="Montserrat" w:hAnsi="Montserrat"/>
        </w:rPr>
        <w:t>xxx</w:t>
      </w:r>
    </w:p>
    <w:p w14:paraId="0C165598" w14:textId="1C9826C0" w:rsidR="00575884" w:rsidRDefault="00575884" w:rsidP="00575884">
      <w:pPr>
        <w:pStyle w:val="Akapitzlist"/>
        <w:numPr>
          <w:ilvl w:val="0"/>
          <w:numId w:val="12"/>
        </w:numPr>
        <w:spacing w:line="360" w:lineRule="auto"/>
        <w:rPr>
          <w:rFonts w:ascii="Montserrat" w:hAnsi="Montserrat"/>
        </w:rPr>
      </w:pPr>
      <w:r>
        <w:rPr>
          <w:rFonts w:ascii="Montserrat" w:hAnsi="Montserrat"/>
        </w:rPr>
        <w:t>xxx</w:t>
      </w:r>
    </w:p>
    <w:p w14:paraId="4FDE6DAD" w14:textId="62084E68" w:rsidR="00575884" w:rsidRDefault="00575884" w:rsidP="00575884">
      <w:pPr>
        <w:pStyle w:val="Akapitzlist"/>
        <w:numPr>
          <w:ilvl w:val="0"/>
          <w:numId w:val="12"/>
        </w:numPr>
        <w:spacing w:line="360" w:lineRule="auto"/>
        <w:rPr>
          <w:rFonts w:ascii="Montserrat" w:hAnsi="Montserrat"/>
        </w:rPr>
      </w:pPr>
      <w:r>
        <w:rPr>
          <w:rFonts w:ascii="Montserrat" w:hAnsi="Montserrat"/>
        </w:rPr>
        <w:t>xxx</w:t>
      </w:r>
    </w:p>
    <w:p w14:paraId="23226E4D" w14:textId="4E9EB4F1" w:rsidR="00575884" w:rsidRDefault="00575884" w:rsidP="00575884">
      <w:pPr>
        <w:pStyle w:val="Akapitzlist"/>
        <w:numPr>
          <w:ilvl w:val="0"/>
          <w:numId w:val="12"/>
        </w:numPr>
        <w:spacing w:line="360" w:lineRule="auto"/>
        <w:rPr>
          <w:rFonts w:ascii="Montserrat" w:hAnsi="Montserrat"/>
        </w:rPr>
      </w:pPr>
      <w:r>
        <w:rPr>
          <w:rFonts w:ascii="Montserrat" w:hAnsi="Montserrat"/>
        </w:rPr>
        <w:t>xxx</w:t>
      </w:r>
    </w:p>
    <w:p w14:paraId="7AEE3B63" w14:textId="183CC8C4" w:rsidR="00575884" w:rsidRDefault="00575884" w:rsidP="00575884">
      <w:pPr>
        <w:pStyle w:val="Akapitzlist"/>
        <w:numPr>
          <w:ilvl w:val="0"/>
          <w:numId w:val="12"/>
        </w:numPr>
        <w:spacing w:line="360" w:lineRule="auto"/>
        <w:rPr>
          <w:rFonts w:ascii="Montserrat" w:hAnsi="Montserrat"/>
        </w:rPr>
      </w:pPr>
      <w:r>
        <w:rPr>
          <w:rFonts w:ascii="Montserrat" w:hAnsi="Montserrat"/>
        </w:rPr>
        <w:t>xxx</w:t>
      </w:r>
    </w:p>
    <w:p w14:paraId="206946BE" w14:textId="5EDE4419" w:rsidR="00575884" w:rsidRDefault="00575884" w:rsidP="00575884">
      <w:pPr>
        <w:pStyle w:val="Akapitzlist"/>
        <w:numPr>
          <w:ilvl w:val="0"/>
          <w:numId w:val="12"/>
        </w:numPr>
        <w:spacing w:line="360" w:lineRule="auto"/>
        <w:rPr>
          <w:rFonts w:ascii="Montserrat" w:hAnsi="Montserrat"/>
        </w:rPr>
      </w:pPr>
      <w:r>
        <w:rPr>
          <w:rFonts w:ascii="Montserrat" w:hAnsi="Montserrat"/>
        </w:rPr>
        <w:t>xxx</w:t>
      </w:r>
    </w:p>
    <w:p w14:paraId="01CBB195" w14:textId="1994552B" w:rsidR="00575884" w:rsidRDefault="00575884" w:rsidP="00575884">
      <w:pPr>
        <w:pStyle w:val="Akapitzlist"/>
        <w:numPr>
          <w:ilvl w:val="0"/>
          <w:numId w:val="12"/>
        </w:numPr>
        <w:spacing w:line="360" w:lineRule="auto"/>
        <w:rPr>
          <w:rFonts w:ascii="Montserrat" w:hAnsi="Montserrat"/>
        </w:rPr>
      </w:pPr>
      <w:r>
        <w:rPr>
          <w:rFonts w:ascii="Montserrat" w:hAnsi="Montserrat"/>
        </w:rPr>
        <w:t>xxx</w:t>
      </w:r>
    </w:p>
    <w:p w14:paraId="7E684A56" w14:textId="77777777" w:rsidR="00575884" w:rsidRDefault="00575884" w:rsidP="00575884">
      <w:pPr>
        <w:pStyle w:val="Akapitzlist"/>
        <w:numPr>
          <w:ilvl w:val="0"/>
          <w:numId w:val="12"/>
        </w:numPr>
        <w:spacing w:line="360" w:lineRule="auto"/>
        <w:rPr>
          <w:rFonts w:ascii="Montserrat" w:hAnsi="Montserrat"/>
        </w:rPr>
      </w:pPr>
      <w:r w:rsidRPr="00F806BD">
        <w:rPr>
          <w:rFonts w:ascii="Montserrat" w:hAnsi="Montserrat"/>
        </w:rPr>
        <w:t>Gmina Miłomłyn</w:t>
      </w:r>
    </w:p>
    <w:p w14:paraId="01F8C1B4" w14:textId="77777777" w:rsidR="00575884" w:rsidRPr="00F806BD" w:rsidRDefault="00575884" w:rsidP="00575884">
      <w:pPr>
        <w:pStyle w:val="Akapitzlist"/>
        <w:numPr>
          <w:ilvl w:val="0"/>
          <w:numId w:val="12"/>
        </w:numPr>
        <w:spacing w:line="360" w:lineRule="auto"/>
        <w:rPr>
          <w:rFonts w:ascii="Montserrat" w:hAnsi="Montserrat"/>
        </w:rPr>
      </w:pPr>
      <w:r>
        <w:rPr>
          <w:rFonts w:ascii="Montserrat" w:hAnsi="Montserrat"/>
        </w:rPr>
        <w:t>A/a.</w:t>
      </w:r>
    </w:p>
    <w:p w14:paraId="3F2BD58E" w14:textId="77777777" w:rsidR="00575884" w:rsidRPr="00F806BD" w:rsidRDefault="00575884" w:rsidP="00575884">
      <w:pPr>
        <w:spacing w:after="0" w:line="240" w:lineRule="auto"/>
        <w:jc w:val="both"/>
        <w:rPr>
          <w:rFonts w:ascii="Montserrat" w:eastAsia="Times New Roman" w:hAnsi="Montserrat" w:cs="Arial"/>
          <w:lang w:eastAsia="pl-PL"/>
        </w:rPr>
      </w:pPr>
    </w:p>
    <w:bookmarkEnd w:id="0"/>
    <w:p w14:paraId="0FAC8727" w14:textId="77777777" w:rsidR="00575884" w:rsidRPr="00F806BD" w:rsidRDefault="00575884" w:rsidP="00575884">
      <w:pPr>
        <w:spacing w:after="0" w:line="240" w:lineRule="auto"/>
        <w:jc w:val="both"/>
        <w:rPr>
          <w:rFonts w:ascii="Montserrat" w:eastAsia="Times New Roman" w:hAnsi="Montserrat" w:cs="Arial"/>
          <w:lang w:eastAsia="pl-PL"/>
        </w:rPr>
      </w:pPr>
    </w:p>
    <w:sectPr w:rsidR="00575884" w:rsidRPr="00F806BD" w:rsidSect="00575884">
      <w:headerReference w:type="default" r:id="rId5"/>
      <w:pgSz w:w="11906" w:h="16838"/>
      <w:pgMar w:top="1417" w:right="991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8368621"/>
      <w:docPartObj>
        <w:docPartGallery w:val="Page Numbers (Top of Page)"/>
        <w:docPartUnique/>
      </w:docPartObj>
    </w:sdtPr>
    <w:sdtContent>
      <w:p w14:paraId="1480A8F1" w14:textId="77777777" w:rsidR="00000000" w:rsidRDefault="00000000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6DDD32F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46185"/>
    <w:multiLevelType w:val="multilevel"/>
    <w:tmpl w:val="935A7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4BB35DE"/>
    <w:multiLevelType w:val="multilevel"/>
    <w:tmpl w:val="D62834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30"/>
        </w:tabs>
        <w:ind w:left="1530" w:hanging="1170"/>
      </w:pPr>
      <w:rPr>
        <w:color w:val="auto"/>
      </w:rPr>
    </w:lvl>
    <w:lvl w:ilvl="2">
      <w:start w:val="1"/>
      <w:numFmt w:val="decimal"/>
      <w:isLgl/>
      <w:lvlText w:val="%3.%2.%3."/>
      <w:lvlJc w:val="left"/>
      <w:pPr>
        <w:tabs>
          <w:tab w:val="num" w:pos="1530"/>
        </w:tabs>
        <w:ind w:left="1530" w:hanging="1170"/>
      </w:pPr>
    </w:lvl>
    <w:lvl w:ilvl="3">
      <w:start w:val="1"/>
      <w:numFmt w:val="decimal"/>
      <w:isLgl/>
      <w:lvlText w:val="%1.%2.%3.%4."/>
      <w:lvlJc w:val="left"/>
      <w:pPr>
        <w:tabs>
          <w:tab w:val="num" w:pos="1530"/>
        </w:tabs>
        <w:ind w:left="1530" w:hanging="1170"/>
      </w:pPr>
    </w:lvl>
    <w:lvl w:ilvl="4">
      <w:start w:val="1"/>
      <w:numFmt w:val="decimal"/>
      <w:isLgl/>
      <w:lvlText w:val="%1.%2.%3.%4.%5."/>
      <w:lvlJc w:val="left"/>
      <w:pPr>
        <w:tabs>
          <w:tab w:val="num" w:pos="1530"/>
        </w:tabs>
        <w:ind w:left="1530" w:hanging="117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" w15:restartNumberingAfterBreak="0">
    <w:nsid w:val="15C2796C"/>
    <w:multiLevelType w:val="hybridMultilevel"/>
    <w:tmpl w:val="D7EC1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32CE2"/>
    <w:multiLevelType w:val="multilevel"/>
    <w:tmpl w:val="4064B2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  <w:i w:val="0"/>
        <w:color w:val="auto"/>
      </w:rPr>
    </w:lvl>
  </w:abstractNum>
  <w:abstractNum w:abstractNumId="4" w15:restartNumberingAfterBreak="0">
    <w:nsid w:val="20940B7D"/>
    <w:multiLevelType w:val="hybridMultilevel"/>
    <w:tmpl w:val="E25C9E28"/>
    <w:lvl w:ilvl="0" w:tplc="55A63D6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7562EA8"/>
    <w:multiLevelType w:val="multilevel"/>
    <w:tmpl w:val="E47019D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D2479A"/>
    <w:multiLevelType w:val="multilevel"/>
    <w:tmpl w:val="430C889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4B6117E9"/>
    <w:multiLevelType w:val="hybridMultilevel"/>
    <w:tmpl w:val="EFA6684E"/>
    <w:lvl w:ilvl="0" w:tplc="55A63D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9171D9"/>
    <w:multiLevelType w:val="hybridMultilevel"/>
    <w:tmpl w:val="9B7205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3A6C912">
      <w:numFmt w:val="bullet"/>
      <w:lvlText w:val="•"/>
      <w:lvlJc w:val="left"/>
      <w:pPr>
        <w:ind w:left="1635" w:hanging="55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A34C3"/>
    <w:multiLevelType w:val="multilevel"/>
    <w:tmpl w:val="52782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1170"/>
      </w:pPr>
      <w:rPr>
        <w:color w:val="auto"/>
      </w:rPr>
    </w:lvl>
    <w:lvl w:ilvl="2">
      <w:start w:val="1"/>
      <w:numFmt w:val="decimal"/>
      <w:isLgl/>
      <w:lvlText w:val="%3.%2.%3."/>
      <w:lvlJc w:val="left"/>
      <w:pPr>
        <w:tabs>
          <w:tab w:val="num" w:pos="1530"/>
        </w:tabs>
        <w:ind w:left="1530" w:hanging="1170"/>
      </w:pPr>
    </w:lvl>
    <w:lvl w:ilvl="3">
      <w:start w:val="1"/>
      <w:numFmt w:val="decimal"/>
      <w:isLgl/>
      <w:lvlText w:val="%1.%2.%3.%4."/>
      <w:lvlJc w:val="left"/>
      <w:pPr>
        <w:tabs>
          <w:tab w:val="num" w:pos="1530"/>
        </w:tabs>
        <w:ind w:left="1530" w:hanging="1170"/>
      </w:pPr>
    </w:lvl>
    <w:lvl w:ilvl="4">
      <w:start w:val="1"/>
      <w:numFmt w:val="decimal"/>
      <w:isLgl/>
      <w:lvlText w:val="%1.%2.%3.%4.%5."/>
      <w:lvlJc w:val="left"/>
      <w:pPr>
        <w:tabs>
          <w:tab w:val="num" w:pos="1530"/>
        </w:tabs>
        <w:ind w:left="1530" w:hanging="117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 w16cid:durableId="15119463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8559602">
    <w:abstractNumId w:val="4"/>
  </w:num>
  <w:num w:numId="3" w16cid:durableId="115090624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4167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0527646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0339381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74587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3483209">
    <w:abstractNumId w:val="9"/>
  </w:num>
  <w:num w:numId="9" w16cid:durableId="164977116">
    <w:abstractNumId w:val="1"/>
  </w:num>
  <w:num w:numId="10" w16cid:durableId="1825899029">
    <w:abstractNumId w:val="8"/>
  </w:num>
  <w:num w:numId="11" w16cid:durableId="1814911744">
    <w:abstractNumId w:val="7"/>
  </w:num>
  <w:num w:numId="12" w16cid:durableId="1128007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84"/>
    <w:rsid w:val="00123FE7"/>
    <w:rsid w:val="0019307F"/>
    <w:rsid w:val="00575884"/>
    <w:rsid w:val="00E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3C033"/>
  <w15:chartTrackingRefBased/>
  <w15:docId w15:val="{9C6BB80F-7799-4B37-864D-EB7138AE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884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588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575884"/>
    <w:pPr>
      <w:spacing w:after="0" w:line="360" w:lineRule="auto"/>
      <w:ind w:left="709" w:hanging="709"/>
      <w:jc w:val="both"/>
    </w:pPr>
    <w:rPr>
      <w:rFonts w:ascii="Arial" w:eastAsia="Times New Roman" w:hAnsi="Arial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75884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75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884"/>
    <w:rPr>
      <w:rFonts w:ascii="Calibri" w:eastAsia="Calibri" w:hAnsi="Calibri"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5758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75884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1583</Words>
  <Characters>9499</Characters>
  <Application>Microsoft Office Word</Application>
  <DocSecurity>0</DocSecurity>
  <Lines>79</Lines>
  <Paragraphs>22</Paragraphs>
  <ScaleCrop>false</ScaleCrop>
  <Company/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 Milomlyn</dc:creator>
  <cp:keywords/>
  <dc:description/>
  <cp:lastModifiedBy>UMIG Milomlyn</cp:lastModifiedBy>
  <cp:revision>1</cp:revision>
  <dcterms:created xsi:type="dcterms:W3CDTF">2024-09-18T12:26:00Z</dcterms:created>
  <dcterms:modified xsi:type="dcterms:W3CDTF">2024-09-18T12:27:00Z</dcterms:modified>
</cp:coreProperties>
</file>